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5B27" w14:textId="77777777" w:rsidR="000228D2" w:rsidRDefault="000228D2" w:rsidP="000228D2">
      <w:pPr>
        <w:pStyle w:val="Normal0"/>
        <w:jc w:val="center"/>
        <w:rPr>
          <w:b/>
        </w:rPr>
      </w:pPr>
      <w:r w:rsidRPr="0035724F">
        <w:rPr>
          <w:b/>
        </w:rPr>
        <w:t xml:space="preserve">Data </w:t>
      </w:r>
      <w:r w:rsidR="00714FDB">
        <w:rPr>
          <w:b/>
        </w:rPr>
        <w:t>Protection and Use</w:t>
      </w:r>
      <w:r w:rsidRPr="0035724F">
        <w:rPr>
          <w:b/>
        </w:rPr>
        <w:t xml:space="preserve"> Addendum</w:t>
      </w:r>
    </w:p>
    <w:p w14:paraId="180EE041" w14:textId="77777777" w:rsidR="000228D2" w:rsidRDefault="000228D2" w:rsidP="000228D2">
      <w:pPr>
        <w:pStyle w:val="Normal0"/>
        <w:jc w:val="center"/>
        <w:rPr>
          <w:b/>
        </w:rPr>
      </w:pPr>
    </w:p>
    <w:p w14:paraId="0DBDE579" w14:textId="77777777" w:rsidR="000228D2" w:rsidRDefault="000228D2" w:rsidP="002555C1">
      <w:pPr>
        <w:pStyle w:val="Normal0"/>
        <w:jc w:val="both"/>
      </w:pPr>
      <w:r>
        <w:t xml:space="preserve">This Data </w:t>
      </w:r>
      <w:r w:rsidR="00714FDB">
        <w:t>Protection and Use</w:t>
      </w:r>
      <w:r>
        <w:t xml:space="preserve"> Addendum</w:t>
      </w:r>
      <w:r w:rsidR="00393843">
        <w:t xml:space="preserve"> (“Addendum”)</w:t>
      </w:r>
      <w:r>
        <w:t xml:space="preserve"> is made as of </w:t>
      </w:r>
      <w:r w:rsidR="00AB2DB0">
        <w:t>[</w:t>
      </w:r>
      <w:r w:rsidRPr="0014041E">
        <w:rPr>
          <w:highlight w:val="yellow"/>
        </w:rPr>
        <w:t>DATE</w:t>
      </w:r>
      <w:r w:rsidR="00AB2DB0">
        <w:rPr>
          <w:highlight w:val="yellow"/>
        </w:rPr>
        <w:t>]</w:t>
      </w:r>
      <w:r>
        <w:t xml:space="preserve"> between </w:t>
      </w:r>
      <w:r w:rsidR="003F2BCF">
        <w:t xml:space="preserve">Applied Gratitude Inc. (dba </w:t>
      </w:r>
      <w:proofErr w:type="spellStart"/>
      <w:r w:rsidR="003F2BCF">
        <w:t>Thnks</w:t>
      </w:r>
      <w:proofErr w:type="spellEnd"/>
      <w:r w:rsidR="003F2BCF">
        <w:t>), Delaware corporation,</w:t>
      </w:r>
      <w:r>
        <w:t xml:space="preserve"> with a place of business at </w:t>
      </w:r>
      <w:r w:rsidR="003F2BCF">
        <w:t>712 5</w:t>
      </w:r>
      <w:r w:rsidR="003F2BCF" w:rsidRPr="003F2BCF">
        <w:rPr>
          <w:vertAlign w:val="superscript"/>
        </w:rPr>
        <w:t>th</w:t>
      </w:r>
      <w:r w:rsidR="003F2BCF">
        <w:t xml:space="preserve"> Avenue, New York, NY 10019</w:t>
      </w:r>
      <w:r>
        <w:t xml:space="preserve"> and </w:t>
      </w:r>
      <w:r w:rsidR="00C71F45">
        <w:rPr>
          <w:highlight w:val="yellow"/>
        </w:rPr>
        <w:t>CLIENT</w:t>
      </w:r>
      <w:r w:rsidRPr="00884812">
        <w:rPr>
          <w:highlight w:val="yellow"/>
        </w:rPr>
        <w:t xml:space="preserve"> NAME</w:t>
      </w:r>
      <w:r>
        <w:t xml:space="preserve"> (“</w:t>
      </w:r>
      <w:r w:rsidR="00C71F45">
        <w:t>Client</w:t>
      </w:r>
      <w:r>
        <w:t xml:space="preserve">”) with a place of business at </w:t>
      </w:r>
      <w:r w:rsidRPr="0014041E">
        <w:rPr>
          <w:highlight w:val="yellow"/>
        </w:rPr>
        <w:t>ADDRESS</w:t>
      </w:r>
      <w:r>
        <w:t xml:space="preserve">. </w:t>
      </w:r>
      <w:r w:rsidR="00B20753">
        <w:t>This Addendum applies to</w:t>
      </w:r>
      <w:r w:rsidR="00393843">
        <w:t xml:space="preserve"> the access, collection, processing, access, use, and disclosure of personal data of Client’s employees or Client’s customers by </w:t>
      </w:r>
      <w:proofErr w:type="spellStart"/>
      <w:r w:rsidR="00393843">
        <w:t>Thnks</w:t>
      </w:r>
      <w:proofErr w:type="spellEnd"/>
      <w:r w:rsidR="00393843">
        <w:t xml:space="preserve"> in connection with its provision of services to Client.  </w:t>
      </w:r>
      <w:r>
        <w:t>The parties have previously entered into a</w:t>
      </w:r>
      <w:r w:rsidR="00393843">
        <w:t xml:space="preserve"> master</w:t>
      </w:r>
      <w:r>
        <w:t xml:space="preserve"> agreement</w:t>
      </w:r>
      <w:r w:rsidR="00393843">
        <w:t xml:space="preserve"> (“Agreement”) for the provision of services</w:t>
      </w:r>
      <w:r w:rsidR="006E1CBC">
        <w:t xml:space="preserve"> (“Services”)</w:t>
      </w:r>
      <w:r>
        <w:t xml:space="preserve"> dated </w:t>
      </w:r>
      <w:r w:rsidR="00393843">
        <w:t>[</w:t>
      </w:r>
      <w:r w:rsidRPr="00500F28">
        <w:rPr>
          <w:highlight w:val="yellow"/>
        </w:rPr>
        <w:t>DATE</w:t>
      </w:r>
      <w:r w:rsidR="00393843">
        <w:rPr>
          <w:highlight w:val="yellow"/>
        </w:rPr>
        <w:t>]</w:t>
      </w:r>
      <w:r>
        <w:t xml:space="preserve"> and wish to amend the agreement to include the following terms and conditions.</w:t>
      </w:r>
      <w:r w:rsidR="00393843">
        <w:t xml:space="preserve">  If there is any conflict between this Addendum and the</w:t>
      </w:r>
      <w:r>
        <w:t xml:space="preserve"> </w:t>
      </w:r>
      <w:r w:rsidR="00393843">
        <w:t xml:space="preserve">Agreement, this Addendum shall control to the extent of such conflict. </w:t>
      </w:r>
    </w:p>
    <w:p w14:paraId="49190DDA" w14:textId="77777777" w:rsidR="000228D2" w:rsidRDefault="000228D2" w:rsidP="002555C1">
      <w:pPr>
        <w:pStyle w:val="Normal0"/>
        <w:jc w:val="both"/>
      </w:pPr>
    </w:p>
    <w:p w14:paraId="61353531" w14:textId="77777777" w:rsidR="000228D2" w:rsidRPr="00884812" w:rsidRDefault="000228D2" w:rsidP="002555C1">
      <w:pPr>
        <w:pStyle w:val="Normal0"/>
        <w:jc w:val="both"/>
      </w:pPr>
      <w:r>
        <w:t xml:space="preserve">Therefore, in consideration of the agreements contained herein and for other good and valuable consideration, the receipt and sufficiency whereof </w:t>
      </w:r>
      <w:proofErr w:type="gramStart"/>
      <w:r>
        <w:t>is</w:t>
      </w:r>
      <w:proofErr w:type="gramEnd"/>
      <w:r>
        <w:t xml:space="preserve"> hereby acknowledged, the parties agree as follows:</w:t>
      </w:r>
    </w:p>
    <w:p w14:paraId="51468033" w14:textId="77777777" w:rsidR="000228D2" w:rsidRDefault="000228D2" w:rsidP="002555C1">
      <w:pPr>
        <w:pStyle w:val="Normal0"/>
        <w:jc w:val="both"/>
      </w:pPr>
    </w:p>
    <w:p w14:paraId="18B117D8" w14:textId="77777777" w:rsidR="00714FDB" w:rsidRPr="00C73917" w:rsidRDefault="00714FDB" w:rsidP="002555C1">
      <w:pPr>
        <w:pStyle w:val="Normal0"/>
        <w:numPr>
          <w:ilvl w:val="0"/>
          <w:numId w:val="13"/>
        </w:numPr>
        <w:ind w:left="360"/>
        <w:jc w:val="both"/>
        <w:rPr>
          <w:b/>
        </w:rPr>
      </w:pPr>
      <w:r>
        <w:rPr>
          <w:b/>
        </w:rPr>
        <w:t xml:space="preserve">Definitions; Interpretation.  </w:t>
      </w:r>
      <w:r w:rsidRPr="00714FDB">
        <w:t>The following words or expressions and abbreviations have the following meanings for the purposes of this Addendum. Any capitalized terms not defined in the Addendum shall have the same meaning as defined under the Agreement.</w:t>
      </w:r>
    </w:p>
    <w:p w14:paraId="5CEC81D9" w14:textId="77777777" w:rsidR="00C73917" w:rsidRDefault="00C73917" w:rsidP="00C73917">
      <w:pPr>
        <w:pStyle w:val="Normal0"/>
        <w:ind w:left="360"/>
        <w:jc w:val="both"/>
        <w:rPr>
          <w:b/>
        </w:rPr>
      </w:pPr>
    </w:p>
    <w:p w14:paraId="783E4D80" w14:textId="77777777" w:rsidR="000228D2" w:rsidRPr="00C73917" w:rsidRDefault="00467BF1" w:rsidP="00C73917">
      <w:pPr>
        <w:pStyle w:val="Normal0"/>
        <w:numPr>
          <w:ilvl w:val="1"/>
          <w:numId w:val="13"/>
        </w:numPr>
        <w:jc w:val="both"/>
        <w:rPr>
          <w:b/>
        </w:rPr>
      </w:pPr>
      <w:r w:rsidRPr="00C73917">
        <w:rPr>
          <w:b/>
        </w:rPr>
        <w:t>Client</w:t>
      </w:r>
      <w:r w:rsidR="000228D2" w:rsidRPr="00C73917">
        <w:rPr>
          <w:b/>
        </w:rPr>
        <w:t xml:space="preserve"> </w:t>
      </w:r>
      <w:r w:rsidR="00333D68" w:rsidRPr="00C73917">
        <w:rPr>
          <w:b/>
        </w:rPr>
        <w:t>Personal Data</w:t>
      </w:r>
      <w:r w:rsidR="000228D2" w:rsidRPr="00C73917">
        <w:rPr>
          <w:b/>
        </w:rPr>
        <w:t xml:space="preserve">.  </w:t>
      </w:r>
      <w:r w:rsidR="000228D2">
        <w:t>The term “</w:t>
      </w:r>
      <w:r w:rsidRPr="00C73917">
        <w:rPr>
          <w:u w:val="single"/>
        </w:rPr>
        <w:t>Client</w:t>
      </w:r>
      <w:r w:rsidR="000228D2" w:rsidRPr="00C73917">
        <w:rPr>
          <w:u w:val="single"/>
        </w:rPr>
        <w:t xml:space="preserve"> </w:t>
      </w:r>
      <w:r w:rsidR="00333D68" w:rsidRPr="00C73917">
        <w:rPr>
          <w:u w:val="single"/>
        </w:rPr>
        <w:t>Personal Data</w:t>
      </w:r>
      <w:r w:rsidR="000228D2">
        <w:t xml:space="preserve">” shall mean any </w:t>
      </w:r>
      <w:r w:rsidR="00C73917">
        <w:t>Personal Data of</w:t>
      </w:r>
      <w:r w:rsidR="000228D2">
        <w:t xml:space="preserve"> a </w:t>
      </w:r>
      <w:r>
        <w:t>Client employee or</w:t>
      </w:r>
      <w:r w:rsidR="000228D2">
        <w:t xml:space="preserve"> </w:t>
      </w:r>
      <w:r w:rsidR="00EE25CD">
        <w:t xml:space="preserve">Client </w:t>
      </w:r>
      <w:r w:rsidR="000228D2">
        <w:t>customer</w:t>
      </w:r>
      <w:r w:rsidR="00393283">
        <w:t xml:space="preserve"> that is shared by Client with </w:t>
      </w:r>
      <w:proofErr w:type="spellStart"/>
      <w:r w:rsidR="00393283">
        <w:t>Thnks</w:t>
      </w:r>
      <w:proofErr w:type="spellEnd"/>
      <w:r w:rsidR="000228D2">
        <w:t>, including, but not limited to</w:t>
      </w:r>
      <w:r w:rsidR="00765E22">
        <w:t>,</w:t>
      </w:r>
      <w:r w:rsidR="000228D2">
        <w:t xml:space="preserve"> a</w:t>
      </w:r>
      <w:r>
        <w:t>n employee’s or</w:t>
      </w:r>
      <w:r w:rsidR="000228D2">
        <w:t xml:space="preserve"> customer’s first and last name, physical address, email address, telephone number, customer number (if applicable), date of birth, </w:t>
      </w:r>
      <w:r w:rsidR="00765E22">
        <w:t xml:space="preserve">and/or payment information </w:t>
      </w:r>
      <w:r w:rsidR="000228D2">
        <w:t>(</w:t>
      </w:r>
      <w:r w:rsidR="00765E22">
        <w:t>such as cre</w:t>
      </w:r>
      <w:r w:rsidR="000228D2">
        <w:t>dit</w:t>
      </w:r>
      <w:r w:rsidR="00765E22">
        <w:t xml:space="preserve"> or</w:t>
      </w:r>
      <w:r w:rsidR="000228D2">
        <w:t xml:space="preserve"> debit</w:t>
      </w:r>
      <w:r w:rsidR="00765E22">
        <w:t xml:space="preserve"> card</w:t>
      </w:r>
      <w:r w:rsidR="000228D2">
        <w:t xml:space="preserve"> numbers)</w:t>
      </w:r>
      <w:r w:rsidR="00765E22">
        <w:t>.</w:t>
      </w:r>
    </w:p>
    <w:p w14:paraId="09302861" w14:textId="77777777" w:rsidR="00C73917" w:rsidRPr="00C73917" w:rsidRDefault="00C73917" w:rsidP="00C73917">
      <w:pPr>
        <w:pStyle w:val="Normal0"/>
        <w:ind w:left="720"/>
        <w:jc w:val="both"/>
        <w:rPr>
          <w:b/>
        </w:rPr>
      </w:pPr>
    </w:p>
    <w:p w14:paraId="1789D4E7" w14:textId="77777777" w:rsidR="00C73917" w:rsidRPr="00C73917" w:rsidRDefault="00C73917" w:rsidP="00C73917">
      <w:pPr>
        <w:pStyle w:val="Normal0"/>
        <w:numPr>
          <w:ilvl w:val="1"/>
          <w:numId w:val="13"/>
        </w:numPr>
        <w:jc w:val="both"/>
        <w:rPr>
          <w:b/>
        </w:rPr>
      </w:pPr>
      <w:r>
        <w:rPr>
          <w:b/>
        </w:rPr>
        <w:t xml:space="preserve">Data Protection Laws.  </w:t>
      </w:r>
      <w:r>
        <w:t>The term “</w:t>
      </w:r>
      <w:r w:rsidRPr="00C73917">
        <w:rPr>
          <w:u w:val="single"/>
        </w:rPr>
        <w:t>Data Protection Laws</w:t>
      </w:r>
      <w:r>
        <w:t xml:space="preserve">” shall mean all applicable laws, standards, and regulations governing the Processing, protection or security of Personal Data, as may be amended or enacted from time to time. </w:t>
      </w:r>
    </w:p>
    <w:p w14:paraId="1DB95638" w14:textId="77777777" w:rsidR="00C73917" w:rsidRPr="00C73917" w:rsidRDefault="00C73917" w:rsidP="00C73917">
      <w:pPr>
        <w:pStyle w:val="Normal0"/>
        <w:ind w:left="720"/>
        <w:jc w:val="both"/>
        <w:rPr>
          <w:b/>
        </w:rPr>
      </w:pPr>
    </w:p>
    <w:p w14:paraId="6A2D73F0" w14:textId="772ADA4E" w:rsidR="00C73917" w:rsidRPr="00C73917" w:rsidRDefault="00C73917" w:rsidP="00C73917">
      <w:pPr>
        <w:pStyle w:val="Normal0"/>
        <w:numPr>
          <w:ilvl w:val="1"/>
          <w:numId w:val="13"/>
        </w:numPr>
        <w:jc w:val="both"/>
        <w:rPr>
          <w:b/>
        </w:rPr>
      </w:pPr>
      <w:r>
        <w:rPr>
          <w:b/>
        </w:rPr>
        <w:t xml:space="preserve">Personal Data.  </w:t>
      </w:r>
      <w:r w:rsidR="00635640">
        <w:t>Except as otherwise provided herein, t</w:t>
      </w:r>
      <w:r>
        <w:t>he term “</w:t>
      </w:r>
      <w:r w:rsidRPr="00C73917">
        <w:rPr>
          <w:u w:val="single"/>
        </w:rPr>
        <w:t>Personal Data</w:t>
      </w:r>
      <w:r>
        <w:t>” shall mean any information relating to an identified or identifiable nature person where such information is protected as personal data or personally identifiable information under applicable Data Protection Laws</w:t>
      </w:r>
      <w:r w:rsidR="00A07511">
        <w:t>; however, the term “</w:t>
      </w:r>
      <w:r w:rsidR="00A07511" w:rsidRPr="00A07511">
        <w:t xml:space="preserve">Personal </w:t>
      </w:r>
      <w:r w:rsidR="00A07511">
        <w:t>D</w:t>
      </w:r>
      <w:r w:rsidR="00A07511" w:rsidRPr="00A07511">
        <w:t>ata</w:t>
      </w:r>
      <w:r w:rsidR="00A07511">
        <w:t>”</w:t>
      </w:r>
      <w:r w:rsidR="00A07511" w:rsidRPr="00A07511">
        <w:t xml:space="preserve"> shall not </w:t>
      </w:r>
      <w:r w:rsidR="00D81A6D">
        <w:t>mean</w:t>
      </w:r>
      <w:r w:rsidR="008E1C9A">
        <w:t xml:space="preserve"> or </w:t>
      </w:r>
      <w:r w:rsidR="00A07511" w:rsidRPr="00A07511">
        <w:t>include</w:t>
      </w:r>
      <w:r w:rsidR="008E1C9A">
        <w:t xml:space="preserve"> the following</w:t>
      </w:r>
      <w:r w:rsidR="00A07511">
        <w:t xml:space="preserve"> transaction data</w:t>
      </w:r>
      <w:r w:rsidR="008E1C9A">
        <w:t>: (i)</w:t>
      </w:r>
      <w:r w:rsidR="00A07511" w:rsidRPr="00A07511">
        <w:t xml:space="preserve"> the fact that a transaction (</w:t>
      </w:r>
      <w:r w:rsidR="00D81A6D">
        <w:t xml:space="preserve">i.e., </w:t>
      </w:r>
      <w:r w:rsidR="00A07511" w:rsidRPr="00A07511">
        <w:t>the sending of a gift from one party to another party) took place</w:t>
      </w:r>
      <w:r w:rsidR="008E1C9A">
        <w:t>, (ii)</w:t>
      </w:r>
      <w:r w:rsidR="00A07511" w:rsidRPr="00A07511">
        <w:t xml:space="preserve"> the gift sent, </w:t>
      </w:r>
      <w:r w:rsidR="008E1C9A">
        <w:t xml:space="preserve">(iii) </w:t>
      </w:r>
      <w:r w:rsidR="00A07511" w:rsidRPr="00A07511">
        <w:t>the vendor used</w:t>
      </w:r>
      <w:r w:rsidR="00D81A6D">
        <w:t xml:space="preserve"> to supply </w:t>
      </w:r>
      <w:r w:rsidR="001B0166">
        <w:t>a</w:t>
      </w:r>
      <w:r w:rsidR="00D81A6D">
        <w:t xml:space="preserve"> gift</w:t>
      </w:r>
      <w:r w:rsidR="00A07511" w:rsidRPr="00A07511">
        <w:t xml:space="preserve">, </w:t>
      </w:r>
      <w:r w:rsidR="00D81A6D">
        <w:t xml:space="preserve">(iv) </w:t>
      </w:r>
      <w:r w:rsidR="00A07511" w:rsidRPr="00A07511">
        <w:t xml:space="preserve">the cost of any gift sent, </w:t>
      </w:r>
      <w:r w:rsidR="00D81A6D">
        <w:t xml:space="preserve">(v) </w:t>
      </w:r>
      <w:r w:rsidR="00A07511" w:rsidRPr="00A07511">
        <w:t>the date</w:t>
      </w:r>
      <w:r w:rsidR="001B0166">
        <w:t xml:space="preserve"> a gift was sent, (vi) the date a gift was received</w:t>
      </w:r>
      <w:r w:rsidR="00A07511" w:rsidRPr="00A07511">
        <w:t xml:space="preserve">, </w:t>
      </w:r>
      <w:r w:rsidR="001B0166">
        <w:t xml:space="preserve">(vii) </w:t>
      </w:r>
      <w:r w:rsidR="00A07511" w:rsidRPr="00A07511">
        <w:t>the fact that a gift was opened, redeemed, not redeemed or donated to charity</w:t>
      </w:r>
      <w:r w:rsidR="001B0166">
        <w:t>, and (viii)</w:t>
      </w:r>
      <w:r w:rsidR="00A07511" w:rsidRPr="00A07511">
        <w:t xml:space="preserve"> the charity to which </w:t>
      </w:r>
      <w:r w:rsidR="001B0166">
        <w:t>a gift</w:t>
      </w:r>
      <w:r w:rsidR="00A07511" w:rsidRPr="00A07511">
        <w:t xml:space="preserve"> was donated, all of which shall be hereafter referred to as “Transaction Data</w:t>
      </w:r>
      <w:r w:rsidR="001B0166">
        <w:t>”</w:t>
      </w:r>
      <w:r>
        <w:t>.</w:t>
      </w:r>
    </w:p>
    <w:p w14:paraId="6CC5B6F8" w14:textId="77777777" w:rsidR="00C73917" w:rsidRPr="00C73917" w:rsidRDefault="00C73917" w:rsidP="00C73917">
      <w:pPr>
        <w:pStyle w:val="Normal0"/>
        <w:ind w:left="720"/>
        <w:jc w:val="both"/>
        <w:rPr>
          <w:b/>
        </w:rPr>
      </w:pPr>
    </w:p>
    <w:p w14:paraId="780940CD" w14:textId="77777777" w:rsidR="00C73917" w:rsidRPr="004E20E9" w:rsidRDefault="00C73917" w:rsidP="00C73917">
      <w:pPr>
        <w:pStyle w:val="Normal0"/>
        <w:numPr>
          <w:ilvl w:val="1"/>
          <w:numId w:val="13"/>
        </w:numPr>
        <w:jc w:val="both"/>
        <w:rPr>
          <w:b/>
        </w:rPr>
      </w:pPr>
      <w:r>
        <w:rPr>
          <w:b/>
        </w:rPr>
        <w:t xml:space="preserve">Personal Data Breach.  </w:t>
      </w:r>
      <w:r>
        <w:t>The term “</w:t>
      </w:r>
      <w:r w:rsidRPr="00C73917">
        <w:rPr>
          <w:u w:val="single"/>
        </w:rPr>
        <w:t>Personal Data Breach</w:t>
      </w:r>
      <w:r>
        <w:t xml:space="preserve">” shall mean a breach of security leading to the accidental or unlawful </w:t>
      </w:r>
      <w:r w:rsidR="004E20E9">
        <w:t xml:space="preserve">destruction, loss alteration, unauthorized disclosure of, or access to, Client Personal Data transmitted, stored or otherwise Processed by </w:t>
      </w:r>
      <w:proofErr w:type="spellStart"/>
      <w:r w:rsidR="004E20E9">
        <w:t>Thnks</w:t>
      </w:r>
      <w:proofErr w:type="spellEnd"/>
      <w:r w:rsidR="004E20E9">
        <w:t>.</w:t>
      </w:r>
    </w:p>
    <w:p w14:paraId="1607EA4B" w14:textId="77777777" w:rsidR="004E20E9" w:rsidRPr="004E20E9" w:rsidRDefault="004E20E9" w:rsidP="004E20E9">
      <w:pPr>
        <w:pStyle w:val="Normal0"/>
        <w:ind w:left="720"/>
        <w:jc w:val="both"/>
        <w:rPr>
          <w:b/>
        </w:rPr>
      </w:pPr>
    </w:p>
    <w:p w14:paraId="48B3EF6D" w14:textId="77777777" w:rsidR="004E20E9" w:rsidRPr="00C73917" w:rsidRDefault="004E20E9" w:rsidP="00C73917">
      <w:pPr>
        <w:pStyle w:val="Normal0"/>
        <w:numPr>
          <w:ilvl w:val="1"/>
          <w:numId w:val="13"/>
        </w:numPr>
        <w:jc w:val="both"/>
        <w:rPr>
          <w:b/>
        </w:rPr>
      </w:pPr>
      <w:r>
        <w:rPr>
          <w:b/>
        </w:rPr>
        <w:lastRenderedPageBreak/>
        <w:t xml:space="preserve">Processing.  </w:t>
      </w:r>
      <w:r>
        <w:t>The term “</w:t>
      </w:r>
      <w:r w:rsidRPr="004E20E9">
        <w:rPr>
          <w:u w:val="single"/>
        </w:rPr>
        <w:t>Processing</w:t>
      </w:r>
      <w:r>
        <w:t>” shall mean any operation or set of operations which is performed on or in connection with Personal Data, whether or not by automatic means, such as collection, recording, organization, structuring, storage, adaptation, or alteration, retrieval, consultation, use, disclosure by transmission, dissemination or otherwise making available, alignment or combination, restriction, erasure or destruction.  “</w:t>
      </w:r>
      <w:r w:rsidRPr="004E20E9">
        <w:rPr>
          <w:u w:val="single"/>
        </w:rPr>
        <w:t>Process</w:t>
      </w:r>
      <w:r>
        <w:t>”, “</w:t>
      </w:r>
      <w:r w:rsidRPr="004E20E9">
        <w:rPr>
          <w:u w:val="single"/>
        </w:rPr>
        <w:t>Processes</w:t>
      </w:r>
      <w:r>
        <w:t>”, and “</w:t>
      </w:r>
      <w:r w:rsidRPr="004E20E9">
        <w:rPr>
          <w:u w:val="single"/>
        </w:rPr>
        <w:t>Processed</w:t>
      </w:r>
      <w:r>
        <w:t xml:space="preserve">” shall have a corresponding meaning. </w:t>
      </w:r>
    </w:p>
    <w:p w14:paraId="39F4FA92" w14:textId="77777777" w:rsidR="000228D2" w:rsidRPr="003C754F" w:rsidRDefault="000228D2" w:rsidP="002555C1">
      <w:pPr>
        <w:pStyle w:val="Normal0"/>
        <w:ind w:left="360"/>
        <w:jc w:val="both"/>
      </w:pPr>
    </w:p>
    <w:p w14:paraId="063D81F1" w14:textId="77777777" w:rsidR="00514F0F" w:rsidRDefault="00514F0F" w:rsidP="002555C1">
      <w:pPr>
        <w:pStyle w:val="Normal0"/>
        <w:numPr>
          <w:ilvl w:val="0"/>
          <w:numId w:val="13"/>
        </w:numPr>
        <w:ind w:left="360"/>
        <w:jc w:val="both"/>
      </w:pPr>
      <w:r>
        <w:rPr>
          <w:b/>
        </w:rPr>
        <w:t>Client’s Obligations.</w:t>
      </w:r>
      <w:r>
        <w:t xml:space="preserve"> Client confirms that any </w:t>
      </w:r>
      <w:r w:rsidR="00333D68">
        <w:t>Client Personal Data</w:t>
      </w:r>
      <w:r>
        <w:t xml:space="preserve"> provided to </w:t>
      </w:r>
      <w:proofErr w:type="spellStart"/>
      <w:r>
        <w:t>Thnks</w:t>
      </w:r>
      <w:proofErr w:type="spellEnd"/>
      <w:r>
        <w:t xml:space="preserve"> by Client or on Client’s behalf has been collected and disclosed</w:t>
      </w:r>
      <w:r w:rsidR="00765E22">
        <w:t xml:space="preserve"> to </w:t>
      </w:r>
      <w:proofErr w:type="spellStart"/>
      <w:r w:rsidR="00765E22">
        <w:t>Thnks</w:t>
      </w:r>
      <w:proofErr w:type="spellEnd"/>
      <w:r>
        <w:t xml:space="preserve"> in accordance with applicable</w:t>
      </w:r>
      <w:r w:rsidR="004E20E9">
        <w:t xml:space="preserve"> Data Protection Laws</w:t>
      </w:r>
      <w:r>
        <w:t xml:space="preserve">. Client shall provide </w:t>
      </w:r>
      <w:proofErr w:type="spellStart"/>
      <w:r>
        <w:t>Thnks</w:t>
      </w:r>
      <w:proofErr w:type="spellEnd"/>
      <w:r>
        <w:t xml:space="preserve"> only with that </w:t>
      </w:r>
      <w:r w:rsidR="00333D68">
        <w:t>Client Personal Data</w:t>
      </w:r>
      <w:r>
        <w:t xml:space="preserve"> which is required in order for </w:t>
      </w:r>
      <w:proofErr w:type="spellStart"/>
      <w:r>
        <w:t>Thnks</w:t>
      </w:r>
      <w:proofErr w:type="spellEnd"/>
      <w:r>
        <w:t xml:space="preserve"> to perform the services under the Agreement</w:t>
      </w:r>
      <w:r w:rsidR="00AB7536">
        <w:t xml:space="preserve">, and Client shall take reasonable steps to ensure that the </w:t>
      </w:r>
      <w:r w:rsidR="00333D68">
        <w:t>Client Personal Data</w:t>
      </w:r>
      <w:r w:rsidR="00AB7536">
        <w:t xml:space="preserve"> does not include irrelevant or unnecessary information about </w:t>
      </w:r>
      <w:r w:rsidR="00A15D9E">
        <w:t>its employees or customers.</w:t>
      </w:r>
    </w:p>
    <w:p w14:paraId="00AEB84C" w14:textId="77777777" w:rsidR="006E1CBC" w:rsidRDefault="006E1CBC" w:rsidP="006E1CBC">
      <w:pPr>
        <w:pStyle w:val="Normal0"/>
        <w:ind w:left="360"/>
        <w:jc w:val="both"/>
      </w:pPr>
    </w:p>
    <w:p w14:paraId="49E0E27F" w14:textId="4205D341" w:rsidR="00055F0F" w:rsidRDefault="006E1CBC" w:rsidP="00055F0F">
      <w:pPr>
        <w:pStyle w:val="Normal0"/>
        <w:numPr>
          <w:ilvl w:val="0"/>
          <w:numId w:val="13"/>
        </w:numPr>
        <w:ind w:left="360"/>
        <w:jc w:val="both"/>
      </w:pPr>
      <w:r>
        <w:rPr>
          <w:b/>
        </w:rPr>
        <w:t>Client’s Instructions.</w:t>
      </w:r>
      <w:r>
        <w:t xml:space="preserve">  </w:t>
      </w:r>
      <w:r w:rsidR="0088283E">
        <w:t xml:space="preserve">From time to time, </w:t>
      </w:r>
      <w:r>
        <w:t xml:space="preserve">Client may provide instructions in writing to </w:t>
      </w:r>
      <w:proofErr w:type="spellStart"/>
      <w:r>
        <w:t>Thnks</w:t>
      </w:r>
      <w:proofErr w:type="spellEnd"/>
      <w:r>
        <w:t xml:space="preserve"> in addition to those specific in the Agreement with regard to the Processing or protection of Client Personal Data.  </w:t>
      </w:r>
      <w:r w:rsidR="0088283E">
        <w:t xml:space="preserve">Unless otherwise prohibited by law or contract, and as is practical and appropriate under the circumstances, </w:t>
      </w:r>
      <w:proofErr w:type="spellStart"/>
      <w:r>
        <w:t>Thnks</w:t>
      </w:r>
      <w:proofErr w:type="spellEnd"/>
      <w:r>
        <w:t xml:space="preserve"> will </w:t>
      </w:r>
      <w:r w:rsidR="0088283E">
        <w:t xml:space="preserve">endeavor to </w:t>
      </w:r>
      <w:r>
        <w:t xml:space="preserve">comply with all </w:t>
      </w:r>
      <w:r w:rsidR="0088283E">
        <w:t>reasonable</w:t>
      </w:r>
      <w:r>
        <w:t xml:space="preserve"> instructions without additional charge </w:t>
      </w:r>
      <w:r w:rsidR="0088283E">
        <w:t xml:space="preserve">and </w:t>
      </w:r>
      <w:r>
        <w:t xml:space="preserve">only to the extent necessary for </w:t>
      </w:r>
      <w:proofErr w:type="spellStart"/>
      <w:r>
        <w:t>Thnks</w:t>
      </w:r>
      <w:proofErr w:type="spellEnd"/>
      <w:r>
        <w:t xml:space="preserve"> to comply with its obligations to Client under the Agreement.  The parties will negotiate in good faith with respect to any other change in the Services and/or fees resulting from any additional instructions from Client not covered by the Agreement.</w:t>
      </w:r>
      <w:r w:rsidR="00A773E9">
        <w:t xml:space="preserve">  </w:t>
      </w:r>
      <w:r w:rsidR="00A773E9">
        <w:tab/>
      </w:r>
    </w:p>
    <w:p w14:paraId="535E0664" w14:textId="77777777" w:rsidR="00055F0F" w:rsidRDefault="00055F0F" w:rsidP="00055F0F">
      <w:pPr>
        <w:pStyle w:val="Normal0"/>
        <w:ind w:left="360"/>
        <w:jc w:val="both"/>
      </w:pPr>
    </w:p>
    <w:p w14:paraId="592810FB" w14:textId="77777777" w:rsidR="002F03CA" w:rsidRDefault="00625AF5" w:rsidP="00055F0F">
      <w:pPr>
        <w:pStyle w:val="Normal0"/>
        <w:numPr>
          <w:ilvl w:val="0"/>
          <w:numId w:val="13"/>
        </w:numPr>
        <w:ind w:left="360"/>
        <w:jc w:val="both"/>
      </w:pPr>
      <w:r w:rsidRPr="00055F0F">
        <w:rPr>
          <w:b/>
        </w:rPr>
        <w:t xml:space="preserve">Processing and </w:t>
      </w:r>
      <w:r w:rsidR="002F03CA" w:rsidRPr="00055F0F">
        <w:rPr>
          <w:b/>
        </w:rPr>
        <w:t xml:space="preserve">Use of </w:t>
      </w:r>
      <w:r w:rsidR="00333D68" w:rsidRPr="00055F0F">
        <w:rPr>
          <w:b/>
        </w:rPr>
        <w:t>Client Personal Data</w:t>
      </w:r>
      <w:r w:rsidR="002F03CA" w:rsidRPr="002F03CA">
        <w:t xml:space="preserve">.  All </w:t>
      </w:r>
      <w:bookmarkStart w:id="0" w:name="_cp_text_1_3"/>
      <w:r w:rsidR="00333D68">
        <w:t>Client Personal Data</w:t>
      </w:r>
      <w:r w:rsidR="002F03CA" w:rsidRPr="002F03CA">
        <w:t xml:space="preserve"> provided by </w:t>
      </w:r>
      <w:r w:rsidR="002F03CA">
        <w:t xml:space="preserve">Client </w:t>
      </w:r>
      <w:r w:rsidR="002F03CA" w:rsidRPr="002F03CA">
        <w:t xml:space="preserve">to </w:t>
      </w:r>
      <w:proofErr w:type="spellStart"/>
      <w:r w:rsidR="002F03CA">
        <w:t>Thnks</w:t>
      </w:r>
      <w:proofErr w:type="spellEnd"/>
      <w:r w:rsidR="002F03CA" w:rsidRPr="002F03CA">
        <w:t xml:space="preserve"> will be </w:t>
      </w:r>
      <w:r w:rsidR="00686119">
        <w:t xml:space="preserve">Processed </w:t>
      </w:r>
      <w:r w:rsidR="002F03CA" w:rsidRPr="002F03CA">
        <w:t xml:space="preserve">by </w:t>
      </w:r>
      <w:proofErr w:type="spellStart"/>
      <w:r w:rsidR="002F03CA">
        <w:t>Thnks</w:t>
      </w:r>
      <w:proofErr w:type="spellEnd"/>
      <w:r w:rsidR="002F03CA" w:rsidRPr="002F03CA">
        <w:t xml:space="preserve"> only as is necessary for </w:t>
      </w:r>
      <w:proofErr w:type="spellStart"/>
      <w:r w:rsidR="002F03CA">
        <w:t>Thnks</w:t>
      </w:r>
      <w:proofErr w:type="spellEnd"/>
      <w:r w:rsidR="002F03CA" w:rsidRPr="002F03CA">
        <w:t xml:space="preserve"> to fulfill its business purpose</w:t>
      </w:r>
      <w:r w:rsidR="00686119">
        <w:t xml:space="preserve">s and/or provide Services to Client under the Agreement </w:t>
      </w:r>
      <w:r w:rsidR="002F03CA" w:rsidRPr="002F03CA">
        <w:t>(hereafter the “</w:t>
      </w:r>
      <w:r w:rsidR="00BC09C9">
        <w:t>Business</w:t>
      </w:r>
      <w:r w:rsidR="002F03CA" w:rsidRPr="002F03CA">
        <w:t xml:space="preserve"> Purpose</w:t>
      </w:r>
      <w:r w:rsidR="00686119">
        <w:t>s</w:t>
      </w:r>
      <w:r w:rsidR="002F03CA" w:rsidRPr="002F03CA">
        <w:t xml:space="preserve">”). </w:t>
      </w:r>
      <w:r w:rsidR="00BC09C9">
        <w:t xml:space="preserve"> </w:t>
      </w:r>
      <w:r w:rsidR="002F03CA" w:rsidRPr="002F03CA">
        <w:t xml:space="preserve">Except as set forth in this Addendum or as </w:t>
      </w:r>
      <w:r w:rsidR="002F03CA">
        <w:t>Client</w:t>
      </w:r>
      <w:r w:rsidR="002F03CA" w:rsidRPr="002F03CA">
        <w:t xml:space="preserve"> otherwise </w:t>
      </w:r>
      <w:r w:rsidR="00BC09C9">
        <w:t>instructs</w:t>
      </w:r>
      <w:r w:rsidR="002F03CA" w:rsidRPr="002F03CA">
        <w:t xml:space="preserve"> in writing</w:t>
      </w:r>
      <w:r w:rsidR="00BC09C9">
        <w:t xml:space="preserve"> pursuant to Paragraph 3</w:t>
      </w:r>
      <w:r w:rsidR="002F03CA" w:rsidRPr="002F03CA">
        <w:t xml:space="preserve">, </w:t>
      </w:r>
      <w:proofErr w:type="spellStart"/>
      <w:r w:rsidR="002F03CA">
        <w:t>Thnks</w:t>
      </w:r>
      <w:proofErr w:type="spellEnd"/>
      <w:r w:rsidR="002F03CA" w:rsidRPr="002F03CA">
        <w:t xml:space="preserve"> </w:t>
      </w:r>
      <w:r w:rsidR="00BC09C9">
        <w:t>will</w:t>
      </w:r>
      <w:r w:rsidR="002F03CA" w:rsidRPr="002F03CA">
        <w:t xml:space="preserve"> not: (a) use </w:t>
      </w:r>
      <w:r w:rsidR="00BC09C9">
        <w:t>Client Personal Data</w:t>
      </w:r>
      <w:r w:rsidR="002F03CA" w:rsidRPr="002F03CA">
        <w:t xml:space="preserve"> for any purpose other than </w:t>
      </w:r>
      <w:proofErr w:type="spellStart"/>
      <w:r w:rsidR="00BC09C9">
        <w:t>Thnks</w:t>
      </w:r>
      <w:proofErr w:type="spellEnd"/>
      <w:r w:rsidR="00BC09C9">
        <w:t xml:space="preserve"> Business</w:t>
      </w:r>
      <w:r w:rsidR="002F03CA" w:rsidRPr="002F03CA">
        <w:t xml:space="preserve"> Purpose</w:t>
      </w:r>
      <w:r w:rsidR="00BC09C9">
        <w:t>s</w:t>
      </w:r>
      <w:r w:rsidR="002F03CA" w:rsidRPr="002F03CA">
        <w:t>,</w:t>
      </w:r>
      <w:bookmarkStart w:id="1" w:name="_cp_text_1_4"/>
      <w:bookmarkEnd w:id="0"/>
      <w:bookmarkEnd w:id="1"/>
      <w:r w:rsidR="003B7245">
        <w:t xml:space="preserve"> </w:t>
      </w:r>
      <w:r w:rsidR="002F03CA" w:rsidRPr="002F03CA">
        <w:t>(</w:t>
      </w:r>
      <w:r w:rsidR="00BC09C9">
        <w:t>b</w:t>
      </w:r>
      <w:r w:rsidR="002F03CA" w:rsidRPr="002F03CA">
        <w:t>) sell, as that term is defined under §1798.140(t)(1)-(2) of the California Consumer Privacy Act (“CCPA”)</w:t>
      </w:r>
      <w:r w:rsidR="00BC09C9">
        <w:t>,</w:t>
      </w:r>
      <w:r w:rsidR="002F03CA" w:rsidRPr="002F03CA">
        <w:t xml:space="preserve"> any </w:t>
      </w:r>
      <w:r w:rsidR="00333D68">
        <w:t>Client Personal Data</w:t>
      </w:r>
      <w:r w:rsidR="003B7245">
        <w:t>, or (c) disclose such Client Personal Data to third parties</w:t>
      </w:r>
      <w:r w:rsidR="001E2224">
        <w:t xml:space="preserve"> other than authorized third party </w:t>
      </w:r>
      <w:proofErr w:type="spellStart"/>
      <w:r w:rsidR="001E2224">
        <w:t>Thnks</w:t>
      </w:r>
      <w:proofErr w:type="spellEnd"/>
      <w:r w:rsidR="001E2224">
        <w:t xml:space="preserve"> subcontractors (as set forth in Paragraph 12 below) or </w:t>
      </w:r>
      <w:r w:rsidR="003B7245">
        <w:t xml:space="preserve"> </w:t>
      </w:r>
      <w:r w:rsidR="00FD3B82">
        <w:t xml:space="preserve">as </w:t>
      </w:r>
      <w:r w:rsidR="003B7245">
        <w:t>unless so permitted or required under the Agreement or as instructed by the Client or as otherwise permitted in accordance with Data Protection Laws</w:t>
      </w:r>
      <w:r w:rsidR="002F03CA" w:rsidRPr="002F03CA">
        <w:t xml:space="preserve">. </w:t>
      </w:r>
    </w:p>
    <w:p w14:paraId="7120412D" w14:textId="77777777" w:rsidR="002F03CA" w:rsidRDefault="002F03CA" w:rsidP="002555C1">
      <w:pPr>
        <w:pStyle w:val="Normal0"/>
        <w:ind w:left="360"/>
        <w:jc w:val="both"/>
      </w:pPr>
      <w:bookmarkStart w:id="2" w:name="_cp_text_1_5"/>
    </w:p>
    <w:bookmarkEnd w:id="2"/>
    <w:p w14:paraId="7D714CEF" w14:textId="77777777" w:rsidR="008E16A2" w:rsidRDefault="003B7245" w:rsidP="00BC09C9">
      <w:pPr>
        <w:pStyle w:val="Normal0"/>
        <w:numPr>
          <w:ilvl w:val="0"/>
          <w:numId w:val="13"/>
        </w:numPr>
        <w:ind w:left="360"/>
        <w:jc w:val="both"/>
      </w:pPr>
      <w:r>
        <w:rPr>
          <w:b/>
        </w:rPr>
        <w:t xml:space="preserve">Data </w:t>
      </w:r>
      <w:r w:rsidR="000228D2" w:rsidRPr="00AE5468">
        <w:rPr>
          <w:b/>
        </w:rPr>
        <w:t xml:space="preserve">Security Safeguards. </w:t>
      </w:r>
      <w:proofErr w:type="spellStart"/>
      <w:r w:rsidR="00083B50">
        <w:t>Thnks</w:t>
      </w:r>
      <w:proofErr w:type="spellEnd"/>
      <w:r w:rsidR="000228D2">
        <w:t xml:space="preserve"> warrants and represents that it has implemented reasonable and industry standard </w:t>
      </w:r>
      <w:r w:rsidR="005C1222">
        <w:t xml:space="preserve">technical and organizational </w:t>
      </w:r>
      <w:r w:rsidR="000228D2">
        <w:t xml:space="preserve">security </w:t>
      </w:r>
      <w:r w:rsidR="0047235D">
        <w:t xml:space="preserve">measures for the Processing of Client Personal Data and appropriate and industry standard security </w:t>
      </w:r>
      <w:r w:rsidR="000228D2">
        <w:t>safeguards to protect against unauthorized access to</w:t>
      </w:r>
      <w:r w:rsidR="005C1222">
        <w:t xml:space="preserve">, </w:t>
      </w:r>
      <w:r w:rsidR="000228D2">
        <w:t xml:space="preserve">acquisition, use, disclosure, </w:t>
      </w:r>
      <w:r w:rsidR="005C1222">
        <w:t xml:space="preserve">destruction, </w:t>
      </w:r>
      <w:r w:rsidR="000228D2">
        <w:t xml:space="preserve">or alteration of </w:t>
      </w:r>
      <w:r w:rsidR="00333D68">
        <w:t>Client Personal Data</w:t>
      </w:r>
      <w:r w:rsidR="000228D2">
        <w:t xml:space="preserve">. This includes </w:t>
      </w:r>
      <w:proofErr w:type="spellStart"/>
      <w:r w:rsidR="0047235D">
        <w:t>Thnks</w:t>
      </w:r>
      <w:proofErr w:type="spellEnd"/>
      <w:r w:rsidR="0047235D">
        <w:t xml:space="preserve">’ </w:t>
      </w:r>
      <w:r w:rsidR="000228D2">
        <w:t>written information security p</w:t>
      </w:r>
      <w:r w:rsidR="0047235D">
        <w:t>rogram</w:t>
      </w:r>
      <w:r w:rsidR="000228D2">
        <w:t xml:space="preserve"> designed to assess and control identified security and privacy risks as appropriate for the sensitivity of the </w:t>
      </w:r>
      <w:r w:rsidR="00333D68">
        <w:t>Client Personal Data</w:t>
      </w:r>
      <w:r w:rsidR="0047235D">
        <w:t xml:space="preserve"> being Processed by </w:t>
      </w:r>
      <w:proofErr w:type="spellStart"/>
      <w:r w:rsidR="0047235D">
        <w:t>Thnks</w:t>
      </w:r>
      <w:proofErr w:type="spellEnd"/>
      <w:r w:rsidR="0047235D">
        <w:t xml:space="preserve">, and which includes measures relating to physical </w:t>
      </w:r>
      <w:r w:rsidR="00E35BF2">
        <w:t xml:space="preserve">security and </w:t>
      </w:r>
      <w:r w:rsidR="0047235D">
        <w:t xml:space="preserve">access controls, system authentication access controls, data authentication and access controls, input controls, secure transmission and encryption measures, data backup procedures, data segregation, secure destruction and </w:t>
      </w:r>
      <w:r w:rsidR="0047235D">
        <w:lastRenderedPageBreak/>
        <w:t>disposal of Personal Data,</w:t>
      </w:r>
      <w:r w:rsidR="00E35BF2">
        <w:t xml:space="preserve"> information security training for </w:t>
      </w:r>
      <w:proofErr w:type="spellStart"/>
      <w:r w:rsidR="00E35BF2">
        <w:t>Thnks</w:t>
      </w:r>
      <w:proofErr w:type="spellEnd"/>
      <w:r w:rsidR="00E35BF2">
        <w:t xml:space="preserve"> employees, and regular and routine security and vulnerability testing and audits</w:t>
      </w:r>
      <w:r w:rsidR="000228D2">
        <w:t>.</w:t>
      </w:r>
      <w:r w:rsidR="00F93A09">
        <w:t xml:space="preserve"> </w:t>
      </w:r>
    </w:p>
    <w:p w14:paraId="7EA17B1C" w14:textId="77777777" w:rsidR="008572C6" w:rsidRDefault="008572C6" w:rsidP="008572C6">
      <w:pPr>
        <w:pStyle w:val="Normal0"/>
        <w:jc w:val="both"/>
      </w:pPr>
    </w:p>
    <w:p w14:paraId="13FCDEFB" w14:textId="77777777" w:rsidR="008572C6" w:rsidRDefault="008572C6" w:rsidP="00BC09C9">
      <w:pPr>
        <w:pStyle w:val="Normal0"/>
        <w:numPr>
          <w:ilvl w:val="0"/>
          <w:numId w:val="13"/>
        </w:numPr>
        <w:ind w:left="360"/>
        <w:jc w:val="both"/>
      </w:pPr>
      <w:r w:rsidRPr="00AB7536">
        <w:rPr>
          <w:b/>
        </w:rPr>
        <w:t xml:space="preserve">ISO 27001:2013. </w:t>
      </w:r>
      <w:r>
        <w:t xml:space="preserve">Upon request from Client, </w:t>
      </w:r>
      <w:proofErr w:type="spellStart"/>
      <w:r>
        <w:t>Thnks</w:t>
      </w:r>
      <w:proofErr w:type="spellEnd"/>
      <w:r>
        <w:t xml:space="preserve"> will provide a copy of </w:t>
      </w:r>
      <w:proofErr w:type="spellStart"/>
      <w:r>
        <w:t>Thnks</w:t>
      </w:r>
      <w:proofErr w:type="spellEnd"/>
      <w:r>
        <w:t xml:space="preserve">’ third party provided ISO 27001:2013 certification evidence that the </w:t>
      </w:r>
      <w:proofErr w:type="spellStart"/>
      <w:r>
        <w:t>Thnks</w:t>
      </w:r>
      <w:proofErr w:type="spellEnd"/>
      <w:r>
        <w:t xml:space="preserve"> software development and business processes conform with the requirements of ISO 27001:2013.</w:t>
      </w:r>
    </w:p>
    <w:p w14:paraId="6702F5C2" w14:textId="77777777" w:rsidR="003B7245" w:rsidRDefault="003B7245" w:rsidP="003B7245">
      <w:pPr>
        <w:pStyle w:val="Normal0"/>
        <w:ind w:left="360"/>
        <w:jc w:val="both"/>
      </w:pPr>
    </w:p>
    <w:p w14:paraId="779B049D" w14:textId="77777777" w:rsidR="003B7245" w:rsidRDefault="003B7245" w:rsidP="00BC09C9">
      <w:pPr>
        <w:pStyle w:val="Normal0"/>
        <w:numPr>
          <w:ilvl w:val="0"/>
          <w:numId w:val="13"/>
        </w:numPr>
        <w:ind w:left="360"/>
        <w:jc w:val="both"/>
      </w:pPr>
      <w:r w:rsidRPr="003B7245">
        <w:rPr>
          <w:b/>
        </w:rPr>
        <w:t>Rights of Data Subjects</w:t>
      </w:r>
      <w:r>
        <w:rPr>
          <w:b/>
        </w:rPr>
        <w:t xml:space="preserve"> and Requests for Access to Client Personal Data</w:t>
      </w:r>
      <w:r>
        <w:t xml:space="preserve">. </w:t>
      </w:r>
      <w:r w:rsidR="001315C4">
        <w:t xml:space="preserve">To the extent not restricted by applicable law or governmental order </w:t>
      </w:r>
      <w:proofErr w:type="spellStart"/>
      <w:r>
        <w:t>Thnks</w:t>
      </w:r>
      <w:proofErr w:type="spellEnd"/>
      <w:r w:rsidRPr="002F03CA">
        <w:t xml:space="preserve"> </w:t>
      </w:r>
      <w:bookmarkStart w:id="3" w:name="_cp_text_1_7"/>
      <w:r w:rsidRPr="002F03CA">
        <w:t xml:space="preserve">shall promptly inform </w:t>
      </w:r>
      <w:r>
        <w:t>Client</w:t>
      </w:r>
      <w:r w:rsidRPr="002F03CA">
        <w:t xml:space="preserve"> in writing: (i) of any request for access to any </w:t>
      </w:r>
      <w:r>
        <w:t>Client Personal Data</w:t>
      </w:r>
      <w:r w:rsidRPr="002F03CA">
        <w:t xml:space="preserve"> received from an individual who is (or claims to be) the subject of the data; (</w:t>
      </w:r>
      <w:bookmarkStart w:id="4" w:name="_cp_text_1_9"/>
      <w:bookmarkEnd w:id="3"/>
      <w:r w:rsidRPr="002F03CA">
        <w:t>ii</w:t>
      </w:r>
      <w:bookmarkStart w:id="5" w:name="_cp_text_1_6"/>
      <w:bookmarkStart w:id="6" w:name="_cp_text_1_8"/>
      <w:bookmarkEnd w:id="4"/>
      <w:bookmarkEnd w:id="5"/>
      <w:bookmarkEnd w:id="6"/>
      <w:r w:rsidRPr="002F03CA">
        <w:t xml:space="preserve">) of any request for access to any </w:t>
      </w:r>
      <w:r>
        <w:t>Client Personal Data</w:t>
      </w:r>
      <w:r w:rsidRPr="002F03CA">
        <w:t xml:space="preserve"> received by </w:t>
      </w:r>
      <w:proofErr w:type="spellStart"/>
      <w:r>
        <w:t>Thnks</w:t>
      </w:r>
      <w:proofErr w:type="spellEnd"/>
      <w:r w:rsidRPr="002F03CA">
        <w:t xml:space="preserve"> from any government official unless it is explicitly prohibited by law from notifying </w:t>
      </w:r>
      <w:r>
        <w:t>Client</w:t>
      </w:r>
      <w:r w:rsidRPr="002F03CA">
        <w:t xml:space="preserve"> of the request; (i</w:t>
      </w:r>
      <w:r w:rsidR="005C1222">
        <w:t>ii</w:t>
      </w:r>
      <w:r w:rsidRPr="002F03CA">
        <w:t xml:space="preserve">) of any other requests with respect to </w:t>
      </w:r>
      <w:r>
        <w:t>Client Personal Data</w:t>
      </w:r>
      <w:r w:rsidRPr="002F03CA">
        <w:t xml:space="preserve"> received from third parties, other than those set forth in this</w:t>
      </w:r>
      <w:r>
        <w:t xml:space="preserve"> </w:t>
      </w:r>
      <w:r w:rsidRPr="002F03CA">
        <w:t xml:space="preserve">Addendum. </w:t>
      </w:r>
      <w:proofErr w:type="spellStart"/>
      <w:r>
        <w:t>Thnks</w:t>
      </w:r>
      <w:proofErr w:type="spellEnd"/>
      <w:r w:rsidRPr="002F03CA">
        <w:t xml:space="preserve"> understands that it is not authorized to respond </w:t>
      </w:r>
      <w:r w:rsidR="005C1222">
        <w:t xml:space="preserve">and not responsible for responding </w:t>
      </w:r>
      <w:r w:rsidRPr="002F03CA">
        <w:t xml:space="preserve">to these requests, unless authorized by </w:t>
      </w:r>
      <w:r>
        <w:t>Client</w:t>
      </w:r>
      <w:r w:rsidRPr="002F03CA">
        <w:t xml:space="preserve"> or the response is legally required under a court order or similar legal document issued by a government agency that compels disclosure by </w:t>
      </w:r>
      <w:proofErr w:type="spellStart"/>
      <w:r>
        <w:t>Thnks</w:t>
      </w:r>
      <w:proofErr w:type="spellEnd"/>
      <w:r w:rsidRPr="002F03CA">
        <w:t>.</w:t>
      </w:r>
      <w:r w:rsidR="005C1222">
        <w:t xml:space="preserve"> </w:t>
      </w:r>
      <w:r w:rsidR="000D0FCF">
        <w:t xml:space="preserve">Unless directed by tis counsel in writing otherwise, </w:t>
      </w:r>
      <w:proofErr w:type="spellStart"/>
      <w:r w:rsidR="005C1222">
        <w:t>Thnks</w:t>
      </w:r>
      <w:proofErr w:type="spellEnd"/>
      <w:r w:rsidR="005C1222">
        <w:t xml:space="preserve"> will follow Client’s </w:t>
      </w:r>
      <w:r w:rsidR="000D0FCF">
        <w:t xml:space="preserve">reasonable and lawful </w:t>
      </w:r>
      <w:r w:rsidR="005C1222">
        <w:t xml:space="preserve">detailed written instructions to meet its obligations pursuant to Data Protection Laws to respond to data subject requests to access, delete, release, correct, or block access to Client Personal Data held in </w:t>
      </w:r>
      <w:proofErr w:type="spellStart"/>
      <w:r w:rsidR="005C1222">
        <w:t>Thnks</w:t>
      </w:r>
      <w:proofErr w:type="spellEnd"/>
      <w:r w:rsidR="005C1222">
        <w:t xml:space="preserve">’ information technology environment.  Client agrees to pay </w:t>
      </w:r>
      <w:proofErr w:type="spellStart"/>
      <w:r w:rsidR="005C1222">
        <w:t>Thnks</w:t>
      </w:r>
      <w:proofErr w:type="spellEnd"/>
      <w:r w:rsidR="000D0FCF">
        <w:t>’</w:t>
      </w:r>
      <w:r w:rsidR="005C1222">
        <w:t xml:space="preserve"> reasonable out-of-pocket costs and expenses and standard hourly fees that may be associated with </w:t>
      </w:r>
      <w:proofErr w:type="spellStart"/>
      <w:r w:rsidR="005C1222">
        <w:t>Thnks</w:t>
      </w:r>
      <w:proofErr w:type="spellEnd"/>
      <w:r w:rsidR="005C1222">
        <w:t xml:space="preserve">’ performance of any such access, deletion, release, correction, or blocking of access to Client Personal Data on behalf of Client. </w:t>
      </w:r>
    </w:p>
    <w:p w14:paraId="110D05E1" w14:textId="77777777" w:rsidR="00AE5468" w:rsidRPr="00DC68AB" w:rsidRDefault="00AE5468" w:rsidP="00AE5468">
      <w:pPr>
        <w:pStyle w:val="Normal0"/>
        <w:jc w:val="both"/>
      </w:pPr>
    </w:p>
    <w:p w14:paraId="3BA7528B" w14:textId="77777777" w:rsidR="003E4817" w:rsidRDefault="000228D2" w:rsidP="002555C1">
      <w:pPr>
        <w:pStyle w:val="Normal0"/>
        <w:numPr>
          <w:ilvl w:val="0"/>
          <w:numId w:val="13"/>
        </w:numPr>
        <w:ind w:left="360"/>
        <w:jc w:val="both"/>
      </w:pPr>
      <w:r>
        <w:rPr>
          <w:b/>
        </w:rPr>
        <w:t>Incident Response</w:t>
      </w:r>
      <w:r w:rsidR="00E35BF2">
        <w:rPr>
          <w:b/>
        </w:rPr>
        <w:t xml:space="preserve"> and Personal Data Breach Notification</w:t>
      </w:r>
      <w:r>
        <w:t xml:space="preserve">. </w:t>
      </w:r>
      <w:r w:rsidR="009664E7">
        <w:t xml:space="preserve">Unless restricted by applicable law or governmental order, </w:t>
      </w:r>
      <w:proofErr w:type="spellStart"/>
      <w:r w:rsidR="00083B50">
        <w:t>Thnks</w:t>
      </w:r>
      <w:proofErr w:type="spellEnd"/>
      <w:r>
        <w:t xml:space="preserve"> </w:t>
      </w:r>
      <w:r w:rsidR="00E35BF2">
        <w:t xml:space="preserve">shall notify Client without undue delay and within the timeframe under applicable Data Protection Laws after becoming aware of a Personal Data Breach.  </w:t>
      </w:r>
      <w:proofErr w:type="spellStart"/>
      <w:r w:rsidR="00E35BF2">
        <w:t>Thnks</w:t>
      </w:r>
      <w:proofErr w:type="spellEnd"/>
      <w:r w:rsidR="00E35BF2">
        <w:t xml:space="preserve"> will provide reasonable assistance to Client as may be necessary for Client to satisfy </w:t>
      </w:r>
      <w:r w:rsidR="003B0CB9">
        <w:t xml:space="preserve">any of Client’s notification obligations imposed under Data Protection Laws in connection with any Personal Data Breach.  The obligations herein shall not apply to incidents that are caused by Client. </w:t>
      </w:r>
    </w:p>
    <w:p w14:paraId="1D16751E" w14:textId="77777777" w:rsidR="000228D2" w:rsidRDefault="000228D2" w:rsidP="002555C1">
      <w:pPr>
        <w:pStyle w:val="Normal0"/>
        <w:jc w:val="both"/>
      </w:pPr>
    </w:p>
    <w:p w14:paraId="0197B27B" w14:textId="77777777" w:rsidR="000228D2" w:rsidRDefault="000228D2" w:rsidP="00AE5468">
      <w:pPr>
        <w:pStyle w:val="Normal0"/>
        <w:numPr>
          <w:ilvl w:val="0"/>
          <w:numId w:val="13"/>
        </w:numPr>
        <w:tabs>
          <w:tab w:val="num" w:pos="1440"/>
        </w:tabs>
        <w:ind w:left="360"/>
        <w:jc w:val="both"/>
        <w:rPr>
          <w:color w:val="000000"/>
          <w:w w:val="0"/>
        </w:rPr>
      </w:pPr>
      <w:r>
        <w:rPr>
          <w:b/>
          <w:color w:val="000000"/>
          <w:w w:val="0"/>
        </w:rPr>
        <w:t>Audit.</w:t>
      </w:r>
      <w:r>
        <w:rPr>
          <w:color w:val="000000"/>
          <w:w w:val="0"/>
        </w:rPr>
        <w:t xml:space="preserve"> </w:t>
      </w:r>
      <w:r w:rsidR="003B0CB9">
        <w:rPr>
          <w:color w:val="000000"/>
          <w:w w:val="0"/>
        </w:rPr>
        <w:t xml:space="preserve">Upon request by Client and at Client’s cost, </w:t>
      </w:r>
      <w:proofErr w:type="spellStart"/>
      <w:r w:rsidR="003B0CB9">
        <w:rPr>
          <w:color w:val="000000"/>
          <w:w w:val="0"/>
        </w:rPr>
        <w:t>Thnks</w:t>
      </w:r>
      <w:proofErr w:type="spellEnd"/>
      <w:r w:rsidR="003B0CB9">
        <w:rPr>
          <w:color w:val="000000"/>
          <w:w w:val="0"/>
        </w:rPr>
        <w:t xml:space="preserve"> shall:</w:t>
      </w:r>
    </w:p>
    <w:p w14:paraId="33A6BD1A" w14:textId="77777777" w:rsidR="003B0CB9" w:rsidRDefault="003B0CB9" w:rsidP="003B0CB9">
      <w:pPr>
        <w:pStyle w:val="Normal0"/>
        <w:ind w:left="360"/>
        <w:jc w:val="both"/>
        <w:rPr>
          <w:color w:val="000000"/>
          <w:w w:val="0"/>
        </w:rPr>
      </w:pPr>
    </w:p>
    <w:p w14:paraId="1EB14C90" w14:textId="77777777" w:rsidR="003B0CB9" w:rsidRDefault="003B0CB9" w:rsidP="003B0CB9">
      <w:pPr>
        <w:pStyle w:val="Normal0"/>
        <w:numPr>
          <w:ilvl w:val="1"/>
          <w:numId w:val="13"/>
        </w:numPr>
        <w:jc w:val="both"/>
        <w:rPr>
          <w:color w:val="000000"/>
          <w:w w:val="0"/>
        </w:rPr>
      </w:pPr>
      <w:r>
        <w:rPr>
          <w:color w:val="000000"/>
          <w:w w:val="0"/>
        </w:rPr>
        <w:t xml:space="preserve">Promptly make available to Client all information reasonably necessary to demonstrate compliance with </w:t>
      </w:r>
      <w:proofErr w:type="spellStart"/>
      <w:r>
        <w:rPr>
          <w:color w:val="000000"/>
          <w:w w:val="0"/>
        </w:rPr>
        <w:t>Thnks</w:t>
      </w:r>
      <w:proofErr w:type="spellEnd"/>
      <w:r>
        <w:rPr>
          <w:color w:val="000000"/>
          <w:w w:val="0"/>
        </w:rPr>
        <w:t>’ obligations under this Addendum and the applicable Data Protection Laws; and</w:t>
      </w:r>
    </w:p>
    <w:p w14:paraId="12D3058C" w14:textId="77777777" w:rsidR="003B0CB9" w:rsidRDefault="003B0CB9" w:rsidP="003B0CB9">
      <w:pPr>
        <w:pStyle w:val="Normal0"/>
        <w:ind w:left="720"/>
        <w:jc w:val="both"/>
        <w:rPr>
          <w:color w:val="000000"/>
          <w:w w:val="0"/>
        </w:rPr>
      </w:pPr>
    </w:p>
    <w:p w14:paraId="448883CB" w14:textId="77777777" w:rsidR="003B0CB9" w:rsidRDefault="003B0CB9" w:rsidP="003B0CB9">
      <w:pPr>
        <w:pStyle w:val="Normal0"/>
        <w:numPr>
          <w:ilvl w:val="1"/>
          <w:numId w:val="13"/>
        </w:numPr>
        <w:jc w:val="both"/>
        <w:rPr>
          <w:color w:val="000000"/>
          <w:w w:val="0"/>
        </w:rPr>
      </w:pPr>
      <w:r>
        <w:rPr>
          <w:color w:val="000000"/>
          <w:w w:val="0"/>
        </w:rPr>
        <w:t xml:space="preserve">Allow for and contribute to audits conducted by Client (or Client’s third-party auditor) in accordance with the Data Protection Laws and relating to </w:t>
      </w:r>
      <w:proofErr w:type="spellStart"/>
      <w:r>
        <w:rPr>
          <w:color w:val="000000"/>
          <w:w w:val="0"/>
        </w:rPr>
        <w:t>Thnks</w:t>
      </w:r>
      <w:proofErr w:type="spellEnd"/>
      <w:r>
        <w:rPr>
          <w:color w:val="000000"/>
          <w:w w:val="0"/>
        </w:rPr>
        <w:t>’ Processing activities in relation to the Client Personal Data,</w:t>
      </w:r>
    </w:p>
    <w:p w14:paraId="4434E038" w14:textId="77777777" w:rsidR="003B0CB9" w:rsidRDefault="003B0CB9" w:rsidP="003B0CB9">
      <w:pPr>
        <w:pStyle w:val="Normal0"/>
        <w:ind w:left="720"/>
        <w:jc w:val="both"/>
        <w:rPr>
          <w:color w:val="000000"/>
          <w:w w:val="0"/>
        </w:rPr>
      </w:pPr>
    </w:p>
    <w:p w14:paraId="3B8AA1DB" w14:textId="77777777" w:rsidR="003B0CB9" w:rsidRDefault="003B0CB9" w:rsidP="003B0CB9">
      <w:pPr>
        <w:pStyle w:val="Normal0"/>
        <w:ind w:left="720"/>
        <w:jc w:val="both"/>
        <w:rPr>
          <w:color w:val="000000"/>
          <w:w w:val="0"/>
        </w:rPr>
      </w:pPr>
      <w:r>
        <w:rPr>
          <w:color w:val="000000"/>
          <w:w w:val="0"/>
        </w:rPr>
        <w:t xml:space="preserve">Unless </w:t>
      </w:r>
      <w:proofErr w:type="spellStart"/>
      <w:r>
        <w:rPr>
          <w:color w:val="000000"/>
          <w:w w:val="0"/>
        </w:rPr>
        <w:t>Thnks</w:t>
      </w:r>
      <w:proofErr w:type="spellEnd"/>
      <w:r>
        <w:rPr>
          <w:color w:val="000000"/>
          <w:w w:val="0"/>
        </w:rPr>
        <w:t xml:space="preserve"> provides written notification to Client that, in its reasonable opinion, any exercise of Client’s rights under subparagraphs (a) or (b) above</w:t>
      </w:r>
      <w:r w:rsidR="00AB2DB0">
        <w:rPr>
          <w:color w:val="000000"/>
          <w:w w:val="0"/>
        </w:rPr>
        <w:t xml:space="preserve"> would infringe a Data Protection Law.</w:t>
      </w:r>
    </w:p>
    <w:p w14:paraId="50701C69" w14:textId="77777777" w:rsidR="00AE5468" w:rsidRPr="00AE5468" w:rsidRDefault="00AE5468" w:rsidP="00AE5468">
      <w:pPr>
        <w:pStyle w:val="Normal0"/>
        <w:tabs>
          <w:tab w:val="num" w:pos="1440"/>
        </w:tabs>
        <w:ind w:left="360"/>
        <w:jc w:val="both"/>
        <w:rPr>
          <w:color w:val="000000"/>
          <w:w w:val="0"/>
        </w:rPr>
      </w:pPr>
    </w:p>
    <w:p w14:paraId="77FEB76A" w14:textId="77777777" w:rsidR="00AB2DB0" w:rsidRDefault="00AB2DB0" w:rsidP="00AB2DB0">
      <w:pPr>
        <w:pStyle w:val="Normal0"/>
        <w:numPr>
          <w:ilvl w:val="0"/>
          <w:numId w:val="13"/>
        </w:numPr>
        <w:ind w:left="360"/>
        <w:jc w:val="both"/>
      </w:pPr>
      <w:r>
        <w:rPr>
          <w:b/>
        </w:rPr>
        <w:t xml:space="preserve">Data Retention and Deletion. </w:t>
      </w:r>
      <w:proofErr w:type="spellStart"/>
      <w:r>
        <w:t>Thnks</w:t>
      </w:r>
      <w:proofErr w:type="spellEnd"/>
      <w:r>
        <w:t xml:space="preserve">, upon request by Client and at Client’s cost, will promptly delete or return (at the choice of Client) all Client Personal Data after the end of the provision of Services related to the Agreement and securely delete existing copies of such Client Personal Data unless required by law, regulation, or professional or industry standard to retain the information beyond such term.   </w:t>
      </w:r>
    </w:p>
    <w:p w14:paraId="01CF6475" w14:textId="77777777" w:rsidR="00AB2DB0" w:rsidRPr="00AB2DB0" w:rsidRDefault="00AB2DB0" w:rsidP="00AB2DB0">
      <w:pPr>
        <w:pStyle w:val="Normal0"/>
        <w:ind w:left="360"/>
        <w:jc w:val="both"/>
      </w:pPr>
    </w:p>
    <w:p w14:paraId="0C4D953A" w14:textId="77777777" w:rsidR="00E35BF2" w:rsidRDefault="00E35BF2" w:rsidP="00E35BF2">
      <w:pPr>
        <w:pStyle w:val="Normal0"/>
        <w:numPr>
          <w:ilvl w:val="0"/>
          <w:numId w:val="13"/>
        </w:numPr>
        <w:ind w:left="360"/>
        <w:jc w:val="both"/>
      </w:pPr>
      <w:r w:rsidRPr="0035724F">
        <w:rPr>
          <w:b/>
        </w:rPr>
        <w:t>Cyber</w:t>
      </w:r>
      <w:r>
        <w:rPr>
          <w:b/>
        </w:rPr>
        <w:t>-</w:t>
      </w:r>
      <w:r w:rsidRPr="0035724F">
        <w:rPr>
          <w:b/>
        </w:rPr>
        <w:t>insurance coverage.</w:t>
      </w:r>
      <w:r>
        <w:t xml:space="preserve"> </w:t>
      </w:r>
      <w:proofErr w:type="spellStart"/>
      <w:r>
        <w:t>Thnks</w:t>
      </w:r>
      <w:proofErr w:type="spellEnd"/>
      <w:r>
        <w:t xml:space="preserve"> will obtain and maintain at its sole cost and expense during the term of this Agreement, and for one year thereafter on all claims-made policies, cyber-insurance coverage, including coverage for network security liability; privacy liability; privacy regulatory proceeding expenses and fines; PCI DSS Assessment liability; technology professional liability (errors and omissions); privacy breach expense reimbursement; and data/information lass and business interruption; and with a total aggregate limit of not less than </w:t>
      </w:r>
      <w:r w:rsidR="00BD3F68">
        <w:t>$1 million</w:t>
      </w:r>
      <w:r>
        <w:t>.</w:t>
      </w:r>
    </w:p>
    <w:p w14:paraId="176298CF" w14:textId="77777777" w:rsidR="00E35BF2" w:rsidRPr="00E35BF2" w:rsidRDefault="00E35BF2" w:rsidP="00E35BF2">
      <w:pPr>
        <w:pStyle w:val="Normal0"/>
        <w:ind w:left="360"/>
        <w:jc w:val="both"/>
      </w:pPr>
    </w:p>
    <w:p w14:paraId="3C8CF34A" w14:textId="2C166C82" w:rsidR="000228D2" w:rsidRDefault="000228D2" w:rsidP="00AB2DB0">
      <w:pPr>
        <w:pStyle w:val="Heading4"/>
        <w:numPr>
          <w:ilvl w:val="0"/>
          <w:numId w:val="13"/>
        </w:numPr>
        <w:ind w:left="360"/>
        <w:jc w:val="both"/>
      </w:pPr>
      <w:r>
        <w:rPr>
          <w:b/>
        </w:rPr>
        <w:t xml:space="preserve">Subcontractors. </w:t>
      </w:r>
      <w:proofErr w:type="spellStart"/>
      <w:r w:rsidR="00613F96">
        <w:t>Thnks</w:t>
      </w:r>
      <w:proofErr w:type="spellEnd"/>
      <w:r>
        <w:t xml:space="preserve"> </w:t>
      </w:r>
      <w:r w:rsidR="00152FA6">
        <w:t xml:space="preserve">may share with its </w:t>
      </w:r>
      <w:proofErr w:type="gramStart"/>
      <w:r w:rsidR="00152FA6">
        <w:t>third party</w:t>
      </w:r>
      <w:proofErr w:type="gramEnd"/>
      <w:r w:rsidR="00152FA6">
        <w:t xml:space="preserve"> </w:t>
      </w:r>
      <w:r>
        <w:t>subcontractor</w:t>
      </w:r>
      <w:r w:rsidR="00152FA6">
        <w:t xml:space="preserve">s Client Personal Data </w:t>
      </w:r>
      <w:r w:rsidR="00FD3B82" w:rsidRPr="002F03CA">
        <w:t>to fulfill its business purpose</w:t>
      </w:r>
      <w:r w:rsidR="00FD3B82">
        <w:t>s and/or provide Services to Client under the Agreement.</w:t>
      </w:r>
      <w:r w:rsidR="00F103BC">
        <w:t xml:space="preserve"> A list of the third party subcontractors with which </w:t>
      </w:r>
      <w:proofErr w:type="spellStart"/>
      <w:r w:rsidR="00F103BC">
        <w:t>Thnks</w:t>
      </w:r>
      <w:proofErr w:type="spellEnd"/>
      <w:r w:rsidR="00F103BC">
        <w:t xml:space="preserve"> may share Client Personal Data can </w:t>
      </w:r>
      <w:proofErr w:type="gramStart"/>
      <w:r w:rsidR="00F103BC">
        <w:t>be</w:t>
      </w:r>
      <w:r w:rsidR="00FD3B82">
        <w:t xml:space="preserve">  </w:t>
      </w:r>
      <w:r w:rsidR="00F103BC">
        <w:t>found</w:t>
      </w:r>
      <w:proofErr w:type="gramEnd"/>
      <w:r w:rsidR="00F103BC">
        <w:t xml:space="preserve"> on </w:t>
      </w:r>
      <w:proofErr w:type="spellStart"/>
      <w:r w:rsidR="00F103BC">
        <w:t>Thnks</w:t>
      </w:r>
      <w:proofErr w:type="spellEnd"/>
      <w:r w:rsidR="00F103BC">
        <w:t xml:space="preserve">’ website. </w:t>
      </w:r>
      <w:r w:rsidR="00067749">
        <w:t xml:space="preserve"> </w:t>
      </w:r>
      <w:proofErr w:type="spellStart"/>
      <w:r w:rsidR="009529B8">
        <w:t>Thnks</w:t>
      </w:r>
      <w:proofErr w:type="spellEnd"/>
      <w:r w:rsidR="009529B8">
        <w:t xml:space="preserve"> agrees that it will use its best efforts to</w:t>
      </w:r>
      <w:r>
        <w:t xml:space="preserve"> work</w:t>
      </w:r>
      <w:r w:rsidR="009529B8">
        <w:t xml:space="preserve"> with such</w:t>
      </w:r>
      <w:r w:rsidR="00F103BC">
        <w:t xml:space="preserve"> </w:t>
      </w:r>
      <w:proofErr w:type="gramStart"/>
      <w:r w:rsidR="00F103BC">
        <w:t>th</w:t>
      </w:r>
      <w:r w:rsidR="00067749">
        <w:t>ird party</w:t>
      </w:r>
      <w:proofErr w:type="gramEnd"/>
      <w:r w:rsidR="00067749">
        <w:t xml:space="preserve"> subcontractors</w:t>
      </w:r>
      <w:r>
        <w:t xml:space="preserve"> </w:t>
      </w:r>
      <w:r w:rsidR="00067749">
        <w:t xml:space="preserve">to </w:t>
      </w:r>
      <w:r w:rsidR="00CB4A16">
        <w:t>protect and</w:t>
      </w:r>
      <w:r w:rsidR="00067749">
        <w:t xml:space="preserve"> </w:t>
      </w:r>
      <w:r>
        <w:t>secur</w:t>
      </w:r>
      <w:r w:rsidR="00CB4A16">
        <w:t>e</w:t>
      </w:r>
      <w:r>
        <w:t xml:space="preserve"> </w:t>
      </w:r>
      <w:r w:rsidR="00CB4A16">
        <w:t>any Client Personal Data</w:t>
      </w:r>
      <w:r w:rsidR="00F826C1">
        <w:t xml:space="preserve"> shared by </w:t>
      </w:r>
      <w:proofErr w:type="spellStart"/>
      <w:r w:rsidR="00F826C1">
        <w:t>Thnks</w:t>
      </w:r>
      <w:proofErr w:type="spellEnd"/>
      <w:r w:rsidR="00F826C1">
        <w:t xml:space="preserve"> with such third party subcontractors</w:t>
      </w:r>
      <w:r>
        <w:t xml:space="preserve">. </w:t>
      </w:r>
    </w:p>
    <w:p w14:paraId="065E2E06" w14:textId="77777777" w:rsidR="00F45027" w:rsidRDefault="000228D2" w:rsidP="002555C1">
      <w:pPr>
        <w:pStyle w:val="Heading4"/>
        <w:numPr>
          <w:ilvl w:val="0"/>
          <w:numId w:val="13"/>
        </w:numPr>
        <w:ind w:left="360"/>
        <w:jc w:val="both"/>
      </w:pPr>
      <w:r>
        <w:rPr>
          <w:b/>
        </w:rPr>
        <w:t>Applicable Law.</w:t>
      </w:r>
      <w:r>
        <w:t xml:space="preserve"> </w:t>
      </w:r>
      <w:proofErr w:type="spellStart"/>
      <w:r w:rsidR="002954E6">
        <w:t>Thnks</w:t>
      </w:r>
      <w:proofErr w:type="spellEnd"/>
      <w:r>
        <w:t xml:space="preserve"> agrees to comply with all applicable</w:t>
      </w:r>
      <w:r w:rsidR="00AB2DB0">
        <w:t xml:space="preserve"> Data Protection Laws</w:t>
      </w:r>
      <w:r>
        <w:t>.</w:t>
      </w:r>
    </w:p>
    <w:p w14:paraId="66184696" w14:textId="77777777" w:rsidR="002954E6" w:rsidRDefault="002954E6" w:rsidP="002555C1">
      <w:pPr>
        <w:pStyle w:val="Heading4"/>
        <w:numPr>
          <w:ilvl w:val="0"/>
          <w:numId w:val="13"/>
        </w:numPr>
        <w:ind w:left="360"/>
        <w:jc w:val="both"/>
      </w:pPr>
      <w:r>
        <w:rPr>
          <w:b/>
        </w:rPr>
        <w:t>GDPR.</w:t>
      </w:r>
      <w:r>
        <w:t xml:space="preserve"> To the extent that </w:t>
      </w:r>
      <w:r w:rsidR="006A15F8">
        <w:t xml:space="preserve">the </w:t>
      </w:r>
      <w:r w:rsidR="00AB2DB0">
        <w:t>European</w:t>
      </w:r>
      <w:r w:rsidR="006A15F8">
        <w:t xml:space="preserve"> Union General Data Protection Regulation 2016/679 (“GDPR”) is applicable to </w:t>
      </w:r>
      <w:r w:rsidR="00333D68">
        <w:t>Client Personal Data</w:t>
      </w:r>
      <w:r w:rsidR="006A15F8">
        <w:t xml:space="preserve"> (“EU </w:t>
      </w:r>
      <w:r w:rsidR="00333D68">
        <w:t>Client Personal Data</w:t>
      </w:r>
      <w:r w:rsidR="006A15F8">
        <w:t xml:space="preserve">”), </w:t>
      </w:r>
      <w:proofErr w:type="spellStart"/>
      <w:r w:rsidR="006A15F8">
        <w:t>Thnks</w:t>
      </w:r>
      <w:proofErr w:type="spellEnd"/>
      <w:r w:rsidR="006A15F8">
        <w:t xml:space="preserve"> will:</w:t>
      </w:r>
    </w:p>
    <w:p w14:paraId="4C58E15A" w14:textId="77777777" w:rsidR="006A15F8" w:rsidRDefault="006A15F8" w:rsidP="002555C1">
      <w:pPr>
        <w:pStyle w:val="Heading4"/>
        <w:numPr>
          <w:ilvl w:val="1"/>
          <w:numId w:val="13"/>
        </w:numPr>
        <w:jc w:val="both"/>
      </w:pPr>
      <w:r>
        <w:t xml:space="preserve">Process EU </w:t>
      </w:r>
      <w:r w:rsidR="00333D68">
        <w:t>Client Personal Data</w:t>
      </w:r>
      <w:r>
        <w:t xml:space="preserve"> in accordance with the Client’s instructions as documented in the Agreement</w:t>
      </w:r>
      <w:r w:rsidR="00D32740">
        <w:t xml:space="preserve">. Generally, </w:t>
      </w:r>
      <w:proofErr w:type="spellStart"/>
      <w:r w:rsidR="00D32740">
        <w:t>Thnks</w:t>
      </w:r>
      <w:proofErr w:type="spellEnd"/>
      <w:r w:rsidR="00D32740">
        <w:t xml:space="preserve"> Processes </w:t>
      </w:r>
      <w:r w:rsidR="00333D68">
        <w:t>Client Personal Data</w:t>
      </w:r>
      <w:r w:rsidR="00D32740">
        <w:t xml:space="preserve"> for the storage and processing of recipient contact information and sender gift selection and gift message, in order to deliver selected gesture of appreciation.</w:t>
      </w:r>
    </w:p>
    <w:p w14:paraId="08CA1303" w14:textId="77777777" w:rsidR="006A15F8" w:rsidRDefault="006A15F8" w:rsidP="002555C1">
      <w:pPr>
        <w:pStyle w:val="Heading4"/>
        <w:numPr>
          <w:ilvl w:val="1"/>
          <w:numId w:val="13"/>
        </w:numPr>
        <w:jc w:val="both"/>
      </w:pPr>
      <w:proofErr w:type="spellStart"/>
      <w:r>
        <w:t>Thnks</w:t>
      </w:r>
      <w:proofErr w:type="spellEnd"/>
      <w:r>
        <w:t xml:space="preserve"> shall make available a current list of </w:t>
      </w:r>
      <w:r w:rsidR="008F7ECE">
        <w:t xml:space="preserve">any third parties who process EU </w:t>
      </w:r>
      <w:r w:rsidR="00333D68">
        <w:t>Client Personal Data</w:t>
      </w:r>
      <w:r w:rsidR="008F7ECE">
        <w:t xml:space="preserve"> on </w:t>
      </w:r>
      <w:proofErr w:type="spellStart"/>
      <w:r w:rsidR="008F7ECE">
        <w:t>Thnks</w:t>
      </w:r>
      <w:proofErr w:type="spellEnd"/>
      <w:r w:rsidR="008F7ECE">
        <w:t>’ behalf</w:t>
      </w:r>
      <w:r w:rsidR="002467F0">
        <w:t xml:space="preserve">. </w:t>
      </w:r>
      <w:proofErr w:type="spellStart"/>
      <w:r w:rsidR="002467F0">
        <w:t>Thnks</w:t>
      </w:r>
      <w:proofErr w:type="spellEnd"/>
      <w:r w:rsidR="002467F0">
        <w:t xml:space="preserve"> will inform Client of any additions or replacement of any third parties who process EU </w:t>
      </w:r>
      <w:r w:rsidR="00333D68">
        <w:t>Client Personal Data</w:t>
      </w:r>
      <w:r w:rsidR="002467F0">
        <w:t xml:space="preserve"> on </w:t>
      </w:r>
      <w:proofErr w:type="spellStart"/>
      <w:r w:rsidR="002467F0">
        <w:t>Thnks</w:t>
      </w:r>
      <w:proofErr w:type="spellEnd"/>
      <w:r w:rsidR="002467F0">
        <w:t xml:space="preserve">’ behalf and provide Client the opportunity to object to any such changes. For each of these third parties, </w:t>
      </w:r>
      <w:proofErr w:type="spellStart"/>
      <w:r w:rsidR="002467F0">
        <w:t>Thnks</w:t>
      </w:r>
      <w:proofErr w:type="spellEnd"/>
      <w:r w:rsidR="002467F0">
        <w:t xml:space="preserve"> will enter into a written agreement </w:t>
      </w:r>
      <w:r w:rsidR="00613F96">
        <w:t xml:space="preserve">to ensure </w:t>
      </w:r>
      <w:r w:rsidR="002467F0">
        <w:t>sufficient guarantees to implement appropriate technical and organizational measures in such a manner that any processing by a third party will meet the requirements of GDPR.</w:t>
      </w:r>
    </w:p>
    <w:p w14:paraId="4B482159" w14:textId="77777777" w:rsidR="00BD47E9" w:rsidRDefault="00BD47E9" w:rsidP="002555C1">
      <w:pPr>
        <w:pStyle w:val="Heading4"/>
        <w:numPr>
          <w:ilvl w:val="1"/>
          <w:numId w:val="13"/>
        </w:numPr>
        <w:jc w:val="both"/>
      </w:pPr>
      <w:r w:rsidRPr="00BD47E9">
        <w:rPr>
          <w:lang w:val="en-GB"/>
        </w:rPr>
        <w:t xml:space="preserve">Taking into account the nature of Processing and the information available to </w:t>
      </w:r>
      <w:proofErr w:type="spellStart"/>
      <w:r w:rsidRPr="00BD47E9">
        <w:rPr>
          <w:lang w:val="en-GB"/>
        </w:rPr>
        <w:t>Thnks</w:t>
      </w:r>
      <w:proofErr w:type="spellEnd"/>
      <w:r w:rsidRPr="00BD47E9">
        <w:rPr>
          <w:lang w:val="en-GB"/>
        </w:rPr>
        <w:t xml:space="preserve">, </w:t>
      </w:r>
      <w:proofErr w:type="spellStart"/>
      <w:r w:rsidRPr="00BD47E9">
        <w:rPr>
          <w:lang w:val="en-GB"/>
        </w:rPr>
        <w:t>Thnks</w:t>
      </w:r>
      <w:proofErr w:type="spellEnd"/>
      <w:r w:rsidRPr="00BD47E9">
        <w:rPr>
          <w:lang w:val="en-GB"/>
        </w:rPr>
        <w:t xml:space="preserve"> shall provide assistance to Client (by appropriate technical and organisational measures, insofar as this is possible), as Client may reasonably request and at Client’s cost, in connection with the fulfilment of Client’s obligation to respond to requests for exercising Data Subjects’ rights laid down in Chapter III of the GDPR.  </w:t>
      </w:r>
    </w:p>
    <w:p w14:paraId="29342335" w14:textId="77777777" w:rsidR="00BD47E9" w:rsidRDefault="00BD47E9" w:rsidP="002555C1">
      <w:pPr>
        <w:pStyle w:val="Heading4"/>
        <w:numPr>
          <w:ilvl w:val="1"/>
          <w:numId w:val="13"/>
        </w:numPr>
        <w:jc w:val="both"/>
      </w:pPr>
      <w:r w:rsidRPr="00BD47E9">
        <w:rPr>
          <w:lang w:val="en-GB"/>
        </w:rPr>
        <w:lastRenderedPageBreak/>
        <w:t xml:space="preserve">Taking into account the nature of </w:t>
      </w:r>
      <w:r>
        <w:rPr>
          <w:lang w:val="en-GB"/>
        </w:rPr>
        <w:t xml:space="preserve">processing </w:t>
      </w:r>
      <w:r w:rsidRPr="00BD47E9">
        <w:rPr>
          <w:lang w:val="en-GB"/>
        </w:rPr>
        <w:t xml:space="preserve">and the information available to </w:t>
      </w:r>
      <w:proofErr w:type="spellStart"/>
      <w:r w:rsidRPr="00BD47E9">
        <w:rPr>
          <w:lang w:val="en-GB"/>
        </w:rPr>
        <w:t>Thnks</w:t>
      </w:r>
      <w:proofErr w:type="spellEnd"/>
      <w:r w:rsidRPr="00BD47E9">
        <w:rPr>
          <w:lang w:val="en-GB"/>
        </w:rPr>
        <w:t xml:space="preserve">, </w:t>
      </w:r>
      <w:proofErr w:type="spellStart"/>
      <w:r w:rsidRPr="00BD47E9">
        <w:rPr>
          <w:lang w:val="en-GB"/>
        </w:rPr>
        <w:t>Thnks</w:t>
      </w:r>
      <w:proofErr w:type="spellEnd"/>
      <w:r w:rsidRPr="00BD47E9">
        <w:rPr>
          <w:lang w:val="en-GB"/>
        </w:rPr>
        <w:t xml:space="preserve"> shall provide assistance to Client, as Client may reasonably request and at Client’s cost, in connection with (a) performing any data protection impact assessments as required under the Data Protection Laws or (b) communications from, or requests made by supervisory authorities.</w:t>
      </w:r>
    </w:p>
    <w:p w14:paraId="503773DB" w14:textId="77777777" w:rsidR="002467F0" w:rsidRPr="00AB2DB0" w:rsidRDefault="00BD47E9" w:rsidP="002555C1">
      <w:pPr>
        <w:pStyle w:val="Heading4"/>
        <w:numPr>
          <w:ilvl w:val="1"/>
          <w:numId w:val="13"/>
        </w:numPr>
        <w:jc w:val="both"/>
      </w:pPr>
      <w:r>
        <w:t xml:space="preserve">Where </w:t>
      </w:r>
      <w:proofErr w:type="spellStart"/>
      <w:r>
        <w:t>Thnks</w:t>
      </w:r>
      <w:proofErr w:type="spellEnd"/>
      <w:r>
        <w:t xml:space="preserve">, for </w:t>
      </w:r>
      <w:r w:rsidRPr="00BD47E9">
        <w:rPr>
          <w:lang w:val="en-GB"/>
        </w:rPr>
        <w:t xml:space="preserve">the purposes of performing the services or in connection with the provision of the </w:t>
      </w:r>
      <w:r w:rsidR="00AB2DB0">
        <w:rPr>
          <w:lang w:val="en-GB"/>
        </w:rPr>
        <w:t>S</w:t>
      </w:r>
      <w:r w:rsidRPr="00BD47E9">
        <w:rPr>
          <w:lang w:val="en-GB"/>
        </w:rPr>
        <w:t xml:space="preserve">ervices to Client, acts as a data controller, </w:t>
      </w:r>
      <w:proofErr w:type="spellStart"/>
      <w:r w:rsidRPr="00BD47E9">
        <w:rPr>
          <w:lang w:val="en-GB"/>
        </w:rPr>
        <w:t>Thnks</w:t>
      </w:r>
      <w:proofErr w:type="spellEnd"/>
      <w:r w:rsidRPr="00BD47E9">
        <w:rPr>
          <w:iCs/>
          <w:lang w:val="en-GB"/>
        </w:rPr>
        <w:t xml:space="preserve"> shall </w:t>
      </w:r>
      <w:r w:rsidR="00AB2DB0">
        <w:rPr>
          <w:iCs/>
          <w:lang w:val="en-GB"/>
        </w:rPr>
        <w:t>P</w:t>
      </w:r>
      <w:r w:rsidRPr="00BD47E9">
        <w:rPr>
          <w:iCs/>
          <w:lang w:val="en-GB"/>
        </w:rPr>
        <w:t xml:space="preserve">rocess Client Personal Data only in accordance with the Data Protection Laws and for the purposes of performing the </w:t>
      </w:r>
      <w:r w:rsidR="00AB2DB0">
        <w:rPr>
          <w:iCs/>
          <w:lang w:val="en-GB"/>
        </w:rPr>
        <w:t>S</w:t>
      </w:r>
      <w:r w:rsidRPr="00BD47E9">
        <w:rPr>
          <w:iCs/>
          <w:lang w:val="en-GB"/>
        </w:rPr>
        <w:t xml:space="preserve">ervices or in connection with the provision of the </w:t>
      </w:r>
      <w:r w:rsidR="00AB2DB0">
        <w:rPr>
          <w:iCs/>
          <w:lang w:val="en-GB"/>
        </w:rPr>
        <w:t>S</w:t>
      </w:r>
      <w:r w:rsidRPr="00BD47E9">
        <w:rPr>
          <w:iCs/>
          <w:lang w:val="en-GB"/>
        </w:rPr>
        <w:t>ervices under or in connection with the Agreement.</w:t>
      </w:r>
    </w:p>
    <w:p w14:paraId="7A647CF6" w14:textId="77777777" w:rsidR="003F628F" w:rsidRDefault="003F628F" w:rsidP="00AB2DB0">
      <w:pPr>
        <w:pStyle w:val="Heading4"/>
        <w:numPr>
          <w:ilvl w:val="0"/>
          <w:numId w:val="0"/>
        </w:numPr>
        <w:jc w:val="both"/>
      </w:pPr>
    </w:p>
    <w:p w14:paraId="7C1AD27D" w14:textId="77777777" w:rsidR="00AB2DB0" w:rsidRDefault="00AB2DB0" w:rsidP="00AB2DB0">
      <w:pPr>
        <w:pStyle w:val="Heading4"/>
        <w:numPr>
          <w:ilvl w:val="0"/>
          <w:numId w:val="0"/>
        </w:numPr>
        <w:jc w:val="both"/>
      </w:pPr>
      <w:r>
        <w:t>IN WITNESS WH</w:t>
      </w:r>
      <w:bookmarkStart w:id="7" w:name="_GoBack"/>
      <w:bookmarkEnd w:id="7"/>
      <w:r>
        <w:t xml:space="preserve">EREOF, the parties hereto, through their duly authorized officers, have executed this Addendum as of the </w:t>
      </w:r>
      <w:r w:rsidR="003F628F">
        <w:t>effective date listed at the outset of the Addendum.</w:t>
      </w:r>
    </w:p>
    <w:p w14:paraId="2C09FF9F" w14:textId="77777777" w:rsidR="003F628F" w:rsidRDefault="003F628F" w:rsidP="00AB2DB0">
      <w:pPr>
        <w:pStyle w:val="Heading4"/>
        <w:numPr>
          <w:ilvl w:val="0"/>
          <w:numId w:val="0"/>
        </w:numPr>
        <w:jc w:val="both"/>
      </w:pPr>
    </w:p>
    <w:p w14:paraId="16A03421" w14:textId="77777777" w:rsidR="003F628F" w:rsidRPr="00AB2DB0" w:rsidRDefault="003F628F" w:rsidP="00AB2DB0">
      <w:pPr>
        <w:pStyle w:val="Heading4"/>
        <w:numPr>
          <w:ilvl w:val="0"/>
          <w:numId w:val="0"/>
        </w:numPr>
        <w:jc w:val="both"/>
      </w:pPr>
    </w:p>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8"/>
        <w:gridCol w:w="3686"/>
        <w:gridCol w:w="715"/>
        <w:gridCol w:w="725"/>
        <w:gridCol w:w="3601"/>
      </w:tblGrid>
      <w:tr w:rsidR="00AB2DB0" w14:paraId="75D85B20" w14:textId="77777777" w:rsidTr="00AB2DB0">
        <w:tc>
          <w:tcPr>
            <w:tcW w:w="797" w:type="dxa"/>
          </w:tcPr>
          <w:p w14:paraId="1AFCA6C3" w14:textId="77777777" w:rsidR="00AB2DB0" w:rsidRDefault="00AB2DB0">
            <w:pPr>
              <w:spacing w:line="480" w:lineRule="auto"/>
              <w:jc w:val="both"/>
              <w:rPr>
                <w:rFonts w:ascii="Calibri" w:hAnsi="Calibri"/>
                <w:sz w:val="20"/>
                <w:u w:val="single"/>
              </w:rPr>
            </w:pPr>
          </w:p>
        </w:tc>
        <w:tc>
          <w:tcPr>
            <w:tcW w:w="3685" w:type="dxa"/>
            <w:hideMark/>
          </w:tcPr>
          <w:p w14:paraId="69965955" w14:textId="77777777" w:rsidR="00AB2DB0" w:rsidRDefault="00AB2DB0">
            <w:pPr>
              <w:jc w:val="both"/>
              <w:rPr>
                <w:rFonts w:ascii="Calibri" w:hAnsi="Calibri"/>
                <w:u w:val="single"/>
              </w:rPr>
            </w:pPr>
            <w:r>
              <w:rPr>
                <w:rFonts w:ascii="Calibri" w:hAnsi="Calibri" w:cs="Arial"/>
                <w:b/>
                <w:szCs w:val="18"/>
              </w:rPr>
              <w:t>APPLIED GRATITUDE INC.</w:t>
            </w:r>
            <w:r>
              <w:rPr>
                <w:rFonts w:ascii="Calibri" w:hAnsi="Calibri" w:cs="Arial"/>
                <w:szCs w:val="18"/>
              </w:rPr>
              <w:t xml:space="preserve"> </w:t>
            </w:r>
            <w:r>
              <w:rPr>
                <w:rFonts w:ascii="Calibri" w:hAnsi="Calibri" w:cs="Arial"/>
                <w:b/>
                <w:szCs w:val="18"/>
              </w:rPr>
              <w:t>(“SUPPLIER”)</w:t>
            </w:r>
          </w:p>
        </w:tc>
        <w:tc>
          <w:tcPr>
            <w:tcW w:w="715" w:type="dxa"/>
          </w:tcPr>
          <w:p w14:paraId="47EE118E" w14:textId="77777777" w:rsidR="00AB2DB0" w:rsidRDefault="00AB2DB0">
            <w:pPr>
              <w:jc w:val="both"/>
              <w:rPr>
                <w:rFonts w:ascii="Calibri" w:hAnsi="Calibri"/>
                <w:u w:val="single"/>
              </w:rPr>
            </w:pPr>
          </w:p>
        </w:tc>
        <w:tc>
          <w:tcPr>
            <w:tcW w:w="4325" w:type="dxa"/>
            <w:gridSpan w:val="2"/>
            <w:hideMark/>
          </w:tcPr>
          <w:p w14:paraId="13246236" w14:textId="77777777" w:rsidR="00AB2DB0" w:rsidRDefault="003F628F">
            <w:pPr>
              <w:ind w:left="-95" w:firstLine="95"/>
              <w:jc w:val="both"/>
              <w:rPr>
                <w:rFonts w:ascii="Calibri" w:hAnsi="Calibri"/>
                <w:b/>
              </w:rPr>
            </w:pPr>
            <w:r>
              <w:rPr>
                <w:rFonts w:ascii="Calibri" w:hAnsi="Calibri"/>
                <w:b/>
              </w:rPr>
              <w:t>[CLIENT]</w:t>
            </w:r>
          </w:p>
        </w:tc>
      </w:tr>
      <w:tr w:rsidR="00AB2DB0" w14:paraId="3A6C4A49" w14:textId="77777777" w:rsidTr="00AB2DB0">
        <w:tc>
          <w:tcPr>
            <w:tcW w:w="797" w:type="dxa"/>
            <w:hideMark/>
          </w:tcPr>
          <w:p w14:paraId="082CCC98" w14:textId="77777777" w:rsidR="00AB2DB0" w:rsidRDefault="00AB2DB0">
            <w:pPr>
              <w:spacing w:line="360" w:lineRule="auto"/>
              <w:jc w:val="both"/>
              <w:rPr>
                <w:rFonts w:ascii="Calibri" w:hAnsi="Calibri"/>
                <w:u w:val="single"/>
              </w:rPr>
            </w:pPr>
            <w:r>
              <w:rPr>
                <w:rFonts w:ascii="Calibri" w:hAnsi="Calibri"/>
              </w:rPr>
              <w:t>By:</w:t>
            </w:r>
          </w:p>
        </w:tc>
        <w:tc>
          <w:tcPr>
            <w:tcW w:w="3685" w:type="dxa"/>
            <w:hideMark/>
          </w:tcPr>
          <w:p w14:paraId="39B1A156" w14:textId="77777777" w:rsidR="00AB2DB0" w:rsidRDefault="00AB2DB0">
            <w:pPr>
              <w:spacing w:line="360" w:lineRule="auto"/>
              <w:jc w:val="both"/>
              <w:rPr>
                <w:rFonts w:ascii="Calibri" w:hAnsi="Calibri"/>
                <w:u w:val="single"/>
              </w:rPr>
            </w:pP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p>
        </w:tc>
        <w:tc>
          <w:tcPr>
            <w:tcW w:w="715" w:type="dxa"/>
          </w:tcPr>
          <w:p w14:paraId="6E8729F8" w14:textId="77777777" w:rsidR="00AB2DB0" w:rsidRDefault="00AB2DB0">
            <w:pPr>
              <w:spacing w:line="360" w:lineRule="auto"/>
              <w:jc w:val="both"/>
              <w:rPr>
                <w:rFonts w:ascii="Calibri" w:hAnsi="Calibri"/>
                <w:u w:val="single"/>
              </w:rPr>
            </w:pPr>
          </w:p>
        </w:tc>
        <w:tc>
          <w:tcPr>
            <w:tcW w:w="725" w:type="dxa"/>
            <w:hideMark/>
          </w:tcPr>
          <w:p w14:paraId="5262051B" w14:textId="77777777" w:rsidR="00AB2DB0" w:rsidRDefault="00AB2DB0">
            <w:pPr>
              <w:spacing w:line="360" w:lineRule="auto"/>
              <w:jc w:val="both"/>
              <w:rPr>
                <w:rFonts w:ascii="Calibri" w:hAnsi="Calibri"/>
              </w:rPr>
            </w:pPr>
            <w:r>
              <w:rPr>
                <w:rFonts w:ascii="Calibri" w:hAnsi="Calibri"/>
              </w:rPr>
              <w:t>By:</w:t>
            </w:r>
          </w:p>
        </w:tc>
        <w:tc>
          <w:tcPr>
            <w:tcW w:w="3600" w:type="dxa"/>
            <w:hideMark/>
          </w:tcPr>
          <w:p w14:paraId="156AB9F3" w14:textId="77777777" w:rsidR="00AB2DB0" w:rsidRDefault="00AB2DB0">
            <w:pPr>
              <w:spacing w:line="360" w:lineRule="auto"/>
              <w:jc w:val="both"/>
              <w:rPr>
                <w:rFonts w:ascii="Cambria" w:hAnsi="Cambria"/>
                <w:b/>
                <w:u w:val="single"/>
              </w:rPr>
            </w:pP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p>
        </w:tc>
      </w:tr>
      <w:tr w:rsidR="00AB2DB0" w14:paraId="59C01BA3" w14:textId="77777777" w:rsidTr="00AB2DB0">
        <w:tc>
          <w:tcPr>
            <w:tcW w:w="797" w:type="dxa"/>
            <w:hideMark/>
          </w:tcPr>
          <w:p w14:paraId="676AB666" w14:textId="77777777" w:rsidR="00AB2DB0" w:rsidRDefault="00AB2DB0">
            <w:pPr>
              <w:spacing w:line="360" w:lineRule="auto"/>
              <w:jc w:val="both"/>
              <w:rPr>
                <w:rFonts w:ascii="Calibri" w:hAnsi="Calibri"/>
                <w:u w:val="single"/>
              </w:rPr>
            </w:pPr>
            <w:r>
              <w:rPr>
                <w:rFonts w:ascii="Calibri" w:hAnsi="Calibri"/>
              </w:rPr>
              <w:t>Name:</w:t>
            </w:r>
          </w:p>
        </w:tc>
        <w:tc>
          <w:tcPr>
            <w:tcW w:w="3685" w:type="dxa"/>
            <w:hideMark/>
          </w:tcPr>
          <w:p w14:paraId="03E445C5" w14:textId="77777777" w:rsidR="00AB2DB0" w:rsidRDefault="00AB2DB0">
            <w:pPr>
              <w:spacing w:line="360" w:lineRule="auto"/>
              <w:jc w:val="both"/>
              <w:rPr>
                <w:rFonts w:ascii="Calibri" w:hAnsi="Calibri"/>
                <w:u w:val="single"/>
              </w:rPr>
            </w:pP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p>
        </w:tc>
        <w:tc>
          <w:tcPr>
            <w:tcW w:w="715" w:type="dxa"/>
          </w:tcPr>
          <w:p w14:paraId="67553A74" w14:textId="77777777" w:rsidR="00AB2DB0" w:rsidRDefault="00AB2DB0">
            <w:pPr>
              <w:spacing w:line="360" w:lineRule="auto"/>
              <w:jc w:val="both"/>
              <w:rPr>
                <w:rFonts w:ascii="Calibri" w:hAnsi="Calibri"/>
                <w:u w:val="single"/>
              </w:rPr>
            </w:pPr>
          </w:p>
        </w:tc>
        <w:tc>
          <w:tcPr>
            <w:tcW w:w="725" w:type="dxa"/>
            <w:hideMark/>
          </w:tcPr>
          <w:p w14:paraId="4BB07491" w14:textId="77777777" w:rsidR="00AB2DB0" w:rsidRDefault="00AB2DB0">
            <w:pPr>
              <w:spacing w:line="360" w:lineRule="auto"/>
              <w:jc w:val="both"/>
              <w:rPr>
                <w:rFonts w:ascii="Calibri" w:hAnsi="Calibri"/>
              </w:rPr>
            </w:pPr>
            <w:r>
              <w:rPr>
                <w:rFonts w:ascii="Calibri" w:hAnsi="Calibri"/>
              </w:rPr>
              <w:t>Name:</w:t>
            </w:r>
          </w:p>
        </w:tc>
        <w:tc>
          <w:tcPr>
            <w:tcW w:w="3600" w:type="dxa"/>
            <w:hideMark/>
          </w:tcPr>
          <w:p w14:paraId="4B74C541" w14:textId="77777777" w:rsidR="00AB2DB0" w:rsidRDefault="00AB2DB0">
            <w:pPr>
              <w:spacing w:line="360" w:lineRule="auto"/>
              <w:jc w:val="both"/>
              <w:rPr>
                <w:rFonts w:ascii="Cambria" w:hAnsi="Cambria"/>
                <w:b/>
                <w:u w:val="single"/>
              </w:rPr>
            </w:pP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p>
        </w:tc>
      </w:tr>
      <w:tr w:rsidR="00AB2DB0" w14:paraId="3C234B0E" w14:textId="77777777" w:rsidTr="00AB2DB0">
        <w:tc>
          <w:tcPr>
            <w:tcW w:w="797" w:type="dxa"/>
            <w:hideMark/>
          </w:tcPr>
          <w:p w14:paraId="39F131EE" w14:textId="77777777" w:rsidR="00AB2DB0" w:rsidRDefault="00AB2DB0">
            <w:pPr>
              <w:spacing w:line="360" w:lineRule="auto"/>
              <w:jc w:val="both"/>
              <w:rPr>
                <w:rFonts w:ascii="Calibri" w:hAnsi="Calibri"/>
                <w:u w:val="single"/>
              </w:rPr>
            </w:pPr>
            <w:r>
              <w:rPr>
                <w:rFonts w:ascii="Calibri" w:hAnsi="Calibri"/>
              </w:rPr>
              <w:t>Title:</w:t>
            </w:r>
          </w:p>
        </w:tc>
        <w:tc>
          <w:tcPr>
            <w:tcW w:w="3685" w:type="dxa"/>
            <w:hideMark/>
          </w:tcPr>
          <w:p w14:paraId="751538A5" w14:textId="77777777" w:rsidR="00AB2DB0" w:rsidRDefault="00AB2DB0">
            <w:pPr>
              <w:spacing w:line="360" w:lineRule="auto"/>
              <w:jc w:val="both"/>
              <w:rPr>
                <w:rFonts w:ascii="Calibri" w:hAnsi="Calibri"/>
                <w:u w:val="single"/>
              </w:rPr>
            </w:pP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p>
        </w:tc>
        <w:tc>
          <w:tcPr>
            <w:tcW w:w="715" w:type="dxa"/>
          </w:tcPr>
          <w:p w14:paraId="4A2B1331" w14:textId="77777777" w:rsidR="00AB2DB0" w:rsidRDefault="00AB2DB0">
            <w:pPr>
              <w:spacing w:line="360" w:lineRule="auto"/>
              <w:jc w:val="both"/>
              <w:rPr>
                <w:rFonts w:ascii="Calibri" w:hAnsi="Calibri"/>
                <w:u w:val="single"/>
              </w:rPr>
            </w:pPr>
          </w:p>
        </w:tc>
        <w:tc>
          <w:tcPr>
            <w:tcW w:w="725" w:type="dxa"/>
            <w:hideMark/>
          </w:tcPr>
          <w:p w14:paraId="718C2560" w14:textId="77777777" w:rsidR="00AB2DB0" w:rsidRDefault="00AB2DB0">
            <w:pPr>
              <w:spacing w:line="360" w:lineRule="auto"/>
              <w:jc w:val="both"/>
              <w:rPr>
                <w:rFonts w:ascii="Calibri" w:hAnsi="Calibri"/>
              </w:rPr>
            </w:pPr>
            <w:r>
              <w:rPr>
                <w:rFonts w:ascii="Calibri" w:hAnsi="Calibri"/>
              </w:rPr>
              <w:t>Title:</w:t>
            </w:r>
          </w:p>
        </w:tc>
        <w:tc>
          <w:tcPr>
            <w:tcW w:w="3600" w:type="dxa"/>
            <w:hideMark/>
          </w:tcPr>
          <w:p w14:paraId="2882C744" w14:textId="77777777" w:rsidR="00AB2DB0" w:rsidRDefault="00AB2DB0">
            <w:pPr>
              <w:spacing w:line="360" w:lineRule="auto"/>
              <w:jc w:val="both"/>
              <w:rPr>
                <w:rFonts w:ascii="Cambria" w:hAnsi="Cambria"/>
                <w:b/>
                <w:u w:val="single"/>
              </w:rPr>
            </w:pP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p>
        </w:tc>
      </w:tr>
      <w:tr w:rsidR="00AB2DB0" w14:paraId="26A53D33" w14:textId="77777777" w:rsidTr="00AB2DB0">
        <w:tc>
          <w:tcPr>
            <w:tcW w:w="797" w:type="dxa"/>
            <w:hideMark/>
          </w:tcPr>
          <w:p w14:paraId="31031946" w14:textId="77777777" w:rsidR="00AB2DB0" w:rsidRDefault="00AB2DB0">
            <w:pPr>
              <w:spacing w:line="360" w:lineRule="auto"/>
              <w:jc w:val="both"/>
              <w:rPr>
                <w:rFonts w:ascii="Calibri" w:hAnsi="Calibri"/>
                <w:u w:val="single"/>
              </w:rPr>
            </w:pPr>
            <w:r>
              <w:rPr>
                <w:rFonts w:ascii="Calibri" w:hAnsi="Calibri"/>
              </w:rPr>
              <w:t>Date:</w:t>
            </w:r>
          </w:p>
        </w:tc>
        <w:tc>
          <w:tcPr>
            <w:tcW w:w="3685" w:type="dxa"/>
            <w:hideMark/>
          </w:tcPr>
          <w:p w14:paraId="5EED6D51" w14:textId="77777777" w:rsidR="00AB2DB0" w:rsidRDefault="00AB2DB0">
            <w:pPr>
              <w:spacing w:line="360" w:lineRule="auto"/>
              <w:jc w:val="both"/>
              <w:rPr>
                <w:rFonts w:ascii="Calibri" w:hAnsi="Calibri"/>
                <w:u w:val="single"/>
              </w:rPr>
            </w:pP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p>
        </w:tc>
        <w:tc>
          <w:tcPr>
            <w:tcW w:w="715" w:type="dxa"/>
          </w:tcPr>
          <w:p w14:paraId="5587A2ED" w14:textId="77777777" w:rsidR="00AB2DB0" w:rsidRDefault="00AB2DB0">
            <w:pPr>
              <w:spacing w:line="360" w:lineRule="auto"/>
              <w:jc w:val="both"/>
              <w:rPr>
                <w:rFonts w:ascii="Calibri" w:hAnsi="Calibri"/>
                <w:u w:val="single"/>
              </w:rPr>
            </w:pPr>
          </w:p>
        </w:tc>
        <w:tc>
          <w:tcPr>
            <w:tcW w:w="725" w:type="dxa"/>
            <w:hideMark/>
          </w:tcPr>
          <w:p w14:paraId="4F824A85" w14:textId="77777777" w:rsidR="00AB2DB0" w:rsidRDefault="00AB2DB0">
            <w:pPr>
              <w:spacing w:line="360" w:lineRule="auto"/>
              <w:jc w:val="both"/>
              <w:rPr>
                <w:rFonts w:ascii="Calibri" w:hAnsi="Calibri"/>
              </w:rPr>
            </w:pPr>
            <w:r>
              <w:rPr>
                <w:rFonts w:ascii="Calibri" w:hAnsi="Calibri"/>
              </w:rPr>
              <w:t>Date:</w:t>
            </w:r>
          </w:p>
        </w:tc>
        <w:tc>
          <w:tcPr>
            <w:tcW w:w="3600" w:type="dxa"/>
            <w:hideMark/>
          </w:tcPr>
          <w:p w14:paraId="5471A3C9" w14:textId="77777777" w:rsidR="00AB2DB0" w:rsidRDefault="00AB2DB0">
            <w:pPr>
              <w:spacing w:line="360" w:lineRule="auto"/>
              <w:jc w:val="both"/>
              <w:rPr>
                <w:rFonts w:ascii="Cambria" w:hAnsi="Cambria"/>
                <w:b/>
                <w:u w:val="single"/>
              </w:rPr>
            </w:pP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p>
        </w:tc>
      </w:tr>
      <w:tr w:rsidR="00AB2DB0" w14:paraId="6A911039" w14:textId="77777777" w:rsidTr="00AB2DB0">
        <w:tc>
          <w:tcPr>
            <w:tcW w:w="797" w:type="dxa"/>
            <w:hideMark/>
          </w:tcPr>
          <w:p w14:paraId="2C298593" w14:textId="77777777" w:rsidR="00AB2DB0" w:rsidRDefault="00AB2DB0">
            <w:pPr>
              <w:spacing w:line="360" w:lineRule="auto"/>
              <w:jc w:val="both"/>
              <w:rPr>
                <w:rFonts w:ascii="Calibri" w:hAnsi="Calibri"/>
              </w:rPr>
            </w:pPr>
            <w:r>
              <w:rPr>
                <w:rFonts w:ascii="Calibri" w:hAnsi="Calibri"/>
              </w:rPr>
              <w:t>Address:</w:t>
            </w:r>
          </w:p>
        </w:tc>
        <w:tc>
          <w:tcPr>
            <w:tcW w:w="3685" w:type="dxa"/>
            <w:hideMark/>
          </w:tcPr>
          <w:p w14:paraId="4FF62D25" w14:textId="77777777" w:rsidR="00AB2DB0" w:rsidRDefault="00AB2DB0">
            <w:pPr>
              <w:spacing w:line="360" w:lineRule="auto"/>
              <w:jc w:val="both"/>
              <w:rPr>
                <w:rFonts w:ascii="Calibri" w:hAnsi="Calibri" w:cs="Arial"/>
                <w:szCs w:val="18"/>
                <w:u w:val="single"/>
              </w:rPr>
            </w:pP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r>
              <w:rPr>
                <w:rFonts w:ascii="Calibri" w:hAnsi="Calibri" w:cs="Arial"/>
                <w:szCs w:val="18"/>
                <w:u w:val="single"/>
              </w:rPr>
              <w:tab/>
            </w:r>
          </w:p>
        </w:tc>
        <w:tc>
          <w:tcPr>
            <w:tcW w:w="715" w:type="dxa"/>
          </w:tcPr>
          <w:p w14:paraId="322ECEFE" w14:textId="77777777" w:rsidR="00AB2DB0" w:rsidRDefault="00AB2DB0">
            <w:pPr>
              <w:spacing w:line="360" w:lineRule="auto"/>
              <w:jc w:val="both"/>
              <w:rPr>
                <w:rFonts w:ascii="Calibri" w:hAnsi="Calibri"/>
                <w:szCs w:val="20"/>
                <w:u w:val="single"/>
              </w:rPr>
            </w:pPr>
          </w:p>
        </w:tc>
        <w:tc>
          <w:tcPr>
            <w:tcW w:w="725" w:type="dxa"/>
          </w:tcPr>
          <w:p w14:paraId="48C7A4FD" w14:textId="77777777" w:rsidR="00AB2DB0" w:rsidRDefault="00AB2DB0">
            <w:pPr>
              <w:spacing w:line="360" w:lineRule="auto"/>
              <w:jc w:val="both"/>
              <w:rPr>
                <w:rFonts w:ascii="Calibri" w:hAnsi="Calibri"/>
              </w:rPr>
            </w:pPr>
          </w:p>
        </w:tc>
        <w:tc>
          <w:tcPr>
            <w:tcW w:w="3600" w:type="dxa"/>
          </w:tcPr>
          <w:p w14:paraId="2E115906" w14:textId="77777777" w:rsidR="00AB2DB0" w:rsidRDefault="00AB2DB0">
            <w:pPr>
              <w:spacing w:line="360" w:lineRule="auto"/>
              <w:jc w:val="both"/>
              <w:rPr>
                <w:rFonts w:ascii="Calibri" w:hAnsi="Calibri" w:cs="Arial"/>
                <w:szCs w:val="18"/>
                <w:u w:val="single"/>
              </w:rPr>
            </w:pPr>
          </w:p>
        </w:tc>
      </w:tr>
    </w:tbl>
    <w:p w14:paraId="5A283AC4" w14:textId="77777777" w:rsidR="00AB2DB0" w:rsidRPr="00D661AE" w:rsidRDefault="00AB2DB0" w:rsidP="00AB2DB0">
      <w:pPr>
        <w:pStyle w:val="Heading4"/>
        <w:numPr>
          <w:ilvl w:val="0"/>
          <w:numId w:val="0"/>
        </w:numPr>
        <w:jc w:val="both"/>
      </w:pPr>
    </w:p>
    <w:sectPr w:rsidR="00AB2DB0" w:rsidRPr="00D661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E1D04" w14:textId="77777777" w:rsidR="002E567E" w:rsidRDefault="002E567E" w:rsidP="002D26EA">
      <w:r>
        <w:separator/>
      </w:r>
    </w:p>
  </w:endnote>
  <w:endnote w:type="continuationSeparator" w:id="0">
    <w:p w14:paraId="1ABA5EDB" w14:textId="77777777" w:rsidR="002E567E" w:rsidRDefault="002E567E" w:rsidP="002D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6E7C" w14:textId="77777777" w:rsidR="00F55CD2" w:rsidRDefault="00F5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5000" w:type="pct"/>
      <w:tblLayout w:type="fixed"/>
      <w:tblCellMar>
        <w:left w:w="0" w:type="dxa"/>
        <w:right w:w="0" w:type="dxa"/>
      </w:tblCellMar>
      <w:tblLook w:val="01E0" w:firstRow="1" w:lastRow="1" w:firstColumn="1" w:lastColumn="1" w:noHBand="0" w:noVBand="0"/>
    </w:tblPr>
    <w:tblGrid>
      <w:gridCol w:w="3388"/>
      <w:gridCol w:w="2593"/>
      <w:gridCol w:w="3379"/>
    </w:tblGrid>
    <w:tr w:rsidR="00BE2510" w14:paraId="666A0CFD" w14:textId="77777777" w:rsidTr="00F55CD2">
      <w:tc>
        <w:tcPr>
          <w:tcW w:w="3465" w:type="dxa"/>
          <w:shd w:val="clear" w:color="auto" w:fill="auto"/>
          <w:vAlign w:val="bottom"/>
        </w:tcPr>
        <w:p w14:paraId="3CF35182" w14:textId="00479BEC" w:rsidR="00BE2510" w:rsidRPr="00F55CD2" w:rsidRDefault="00BE2510" w:rsidP="00F55CD2">
          <w:pPr>
            <w:pStyle w:val="Normal0"/>
            <w:rPr>
              <w:noProof/>
              <w:spacing w:val="-2"/>
              <w:sz w:val="16"/>
            </w:rPr>
          </w:pPr>
        </w:p>
      </w:tc>
      <w:tc>
        <w:tcPr>
          <w:tcW w:w="2652" w:type="dxa"/>
          <w:shd w:val="clear" w:color="auto" w:fill="auto"/>
        </w:tcPr>
        <w:p w14:paraId="5D8AC656" w14:textId="77777777" w:rsidR="00BE2510" w:rsidRPr="004969D7" w:rsidRDefault="00BE2510" w:rsidP="00BC09C9">
          <w:pPr>
            <w:pStyle w:val="10spCenterednospaceafter"/>
          </w:pPr>
          <w:r w:rsidRPr="004969D7">
            <w:t>-</w:t>
          </w:r>
          <w:r w:rsidRPr="004969D7">
            <w:fldChar w:fldCharType="begin"/>
          </w:r>
          <w:r w:rsidRPr="004969D7">
            <w:instrText xml:space="preserve"> PAGE </w:instrText>
          </w:r>
          <w:r w:rsidRPr="004969D7">
            <w:fldChar w:fldCharType="separate"/>
          </w:r>
          <w:r w:rsidR="004B5026">
            <w:rPr>
              <w:noProof/>
            </w:rPr>
            <w:t>1</w:t>
          </w:r>
          <w:r w:rsidRPr="004969D7">
            <w:fldChar w:fldCharType="end"/>
          </w:r>
          <w:r w:rsidRPr="004969D7">
            <w:t>-</w:t>
          </w:r>
        </w:p>
      </w:tc>
      <w:tc>
        <w:tcPr>
          <w:tcW w:w="3456" w:type="dxa"/>
          <w:shd w:val="clear" w:color="auto" w:fill="auto"/>
          <w:vAlign w:val="bottom"/>
        </w:tcPr>
        <w:p w14:paraId="2FE7B07A" w14:textId="77777777" w:rsidR="00BE2510" w:rsidRPr="004969D7" w:rsidRDefault="00BE2510" w:rsidP="00BC09C9">
          <w:pPr>
            <w:pStyle w:val="FooterRightAligned"/>
          </w:pPr>
        </w:p>
      </w:tc>
    </w:tr>
    <w:tr w:rsidR="00BE2510" w14:paraId="528194B5" w14:textId="77777777" w:rsidTr="00F55CD2">
      <w:tc>
        <w:tcPr>
          <w:tcW w:w="3465" w:type="dxa"/>
          <w:shd w:val="clear" w:color="auto" w:fill="auto"/>
        </w:tcPr>
        <w:p w14:paraId="0D81297E" w14:textId="77777777" w:rsidR="00BE2510" w:rsidRPr="004969D7" w:rsidRDefault="00BE2510" w:rsidP="00BC09C9">
          <w:pPr>
            <w:pStyle w:val="FooterLeftAligned"/>
          </w:pPr>
        </w:p>
      </w:tc>
      <w:tc>
        <w:tcPr>
          <w:tcW w:w="2652" w:type="dxa"/>
          <w:shd w:val="clear" w:color="auto" w:fill="auto"/>
        </w:tcPr>
        <w:p w14:paraId="2F21899C" w14:textId="77777777" w:rsidR="00BE2510" w:rsidRPr="004969D7" w:rsidRDefault="00BE2510" w:rsidP="00BC09C9">
          <w:pPr>
            <w:pStyle w:val="FooterCenterAligned"/>
          </w:pPr>
        </w:p>
      </w:tc>
      <w:tc>
        <w:tcPr>
          <w:tcW w:w="3456" w:type="dxa"/>
          <w:shd w:val="clear" w:color="auto" w:fill="auto"/>
        </w:tcPr>
        <w:p w14:paraId="34A90069" w14:textId="77777777" w:rsidR="00BE2510" w:rsidRPr="004969D7" w:rsidRDefault="00BE2510" w:rsidP="00BC09C9">
          <w:pPr>
            <w:pStyle w:val="FooterRightAligned"/>
          </w:pPr>
        </w:p>
      </w:tc>
    </w:tr>
  </w:tbl>
  <w:p w14:paraId="5032D86B" w14:textId="77777777" w:rsidR="00BE2510" w:rsidRPr="007264D8" w:rsidRDefault="00BE2510" w:rsidP="00BC09C9">
    <w:pPr>
      <w:pStyle w:val="FooterFill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6DE5" w14:textId="77777777" w:rsidR="00F55CD2" w:rsidRDefault="00F5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6B940" w14:textId="77777777" w:rsidR="002E567E" w:rsidRDefault="002E567E" w:rsidP="002D26EA">
      <w:r>
        <w:separator/>
      </w:r>
    </w:p>
  </w:footnote>
  <w:footnote w:type="continuationSeparator" w:id="0">
    <w:p w14:paraId="0B27E0D5" w14:textId="77777777" w:rsidR="002E567E" w:rsidRDefault="002E567E" w:rsidP="002D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82C5" w14:textId="77777777" w:rsidR="00F55CD2" w:rsidRDefault="00F55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99FF" w14:textId="77777777" w:rsidR="00F55CD2" w:rsidRDefault="00F55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B613" w14:textId="77777777" w:rsidR="00F55CD2" w:rsidRDefault="00F5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137E0320"/>
    <w:multiLevelType w:val="multilevel"/>
    <w:tmpl w:val="4B86CA76"/>
    <w:lvl w:ilvl="0">
      <w:start w:val="1"/>
      <w:numFmt w:val="decimal"/>
      <w:pStyle w:val="Heading1"/>
      <w:lvlText w:val="%1."/>
      <w:lvlJc w:val="left"/>
      <w:pPr>
        <w:tabs>
          <w:tab w:val="num" w:pos="1440"/>
        </w:tabs>
        <w:ind w:left="0" w:firstLine="720"/>
      </w:pPr>
      <w:rPr>
        <w:rFonts w:hint="default"/>
      </w:rPr>
    </w:lvl>
    <w:lvl w:ilvl="1">
      <w:start w:val="1"/>
      <w:numFmt w:val="decimal"/>
      <w:pStyle w:val="Heading2"/>
      <w:lvlText w:val="%1.%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lowerLetter"/>
      <w:pStyle w:val="Heading4"/>
      <w:lvlText w:val="(%4)"/>
      <w:lvlJc w:val="left"/>
      <w:pPr>
        <w:tabs>
          <w:tab w:val="num" w:pos="1800"/>
        </w:tabs>
        <w:ind w:left="-1800" w:firstLine="2880"/>
      </w:pPr>
      <w:rPr>
        <w:rFonts w:hint="default"/>
      </w:rPr>
    </w:lvl>
    <w:lvl w:ilvl="4">
      <w:start w:val="1"/>
      <w:numFmt w:val="lowerLetter"/>
      <w:pStyle w:val="Heading5"/>
      <w:lvlText w:val="(%5)"/>
      <w:lvlJc w:val="left"/>
      <w:pPr>
        <w:tabs>
          <w:tab w:val="num" w:pos="4320"/>
        </w:tabs>
        <w:ind w:left="0" w:firstLine="36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6" w15:restartNumberingAfterBreak="0">
    <w:nsid w:val="18B51471"/>
    <w:multiLevelType w:val="hybridMultilevel"/>
    <w:tmpl w:val="46DAAF64"/>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94ABE"/>
    <w:multiLevelType w:val="hybridMultilevel"/>
    <w:tmpl w:val="19AE9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24585D"/>
    <w:multiLevelType w:val="hybridMultilevel"/>
    <w:tmpl w:val="46220E5A"/>
    <w:lvl w:ilvl="0" w:tplc="91F253F6">
      <w:start w:val="1"/>
      <w:numFmt w:val="upperLetter"/>
      <w:lvlText w:val="%1."/>
      <w:lvlJc w:val="left"/>
      <w:pPr>
        <w:ind w:left="720" w:hanging="360"/>
      </w:pPr>
      <w:rPr>
        <w:b/>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5"/>
  </w:num>
  <w:num w:numId="13">
    <w:abstractNumId w:val="6"/>
  </w:num>
  <w:num w:numId="14">
    <w:abstractNumId w:val="7"/>
  </w:num>
  <w:num w:numId="15">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trackRevisions/>
  <w:defaultTabStop w:val="720"/>
  <w:clickAndTypeStyle w:val="Normal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D2"/>
    <w:rsid w:val="0000234E"/>
    <w:rsid w:val="00010CE0"/>
    <w:rsid w:val="000228D2"/>
    <w:rsid w:val="00055F0F"/>
    <w:rsid w:val="000570D3"/>
    <w:rsid w:val="00057B5A"/>
    <w:rsid w:val="00064B05"/>
    <w:rsid w:val="00067749"/>
    <w:rsid w:val="00083B50"/>
    <w:rsid w:val="00096B21"/>
    <w:rsid w:val="000B7DBF"/>
    <w:rsid w:val="000D0BAE"/>
    <w:rsid w:val="000D0FCF"/>
    <w:rsid w:val="000D4782"/>
    <w:rsid w:val="000D6125"/>
    <w:rsid w:val="000D7E73"/>
    <w:rsid w:val="000F66FD"/>
    <w:rsid w:val="000F7910"/>
    <w:rsid w:val="001125E6"/>
    <w:rsid w:val="001315C4"/>
    <w:rsid w:val="00152FA6"/>
    <w:rsid w:val="0018443B"/>
    <w:rsid w:val="001B0166"/>
    <w:rsid w:val="001C5DFE"/>
    <w:rsid w:val="001E2224"/>
    <w:rsid w:val="00217390"/>
    <w:rsid w:val="00241592"/>
    <w:rsid w:val="0024599F"/>
    <w:rsid w:val="002467F0"/>
    <w:rsid w:val="002555C1"/>
    <w:rsid w:val="00280B93"/>
    <w:rsid w:val="002954E6"/>
    <w:rsid w:val="002C666D"/>
    <w:rsid w:val="002D26EA"/>
    <w:rsid w:val="002E0CA8"/>
    <w:rsid w:val="002E567E"/>
    <w:rsid w:val="002F03CA"/>
    <w:rsid w:val="002F77A1"/>
    <w:rsid w:val="00333D68"/>
    <w:rsid w:val="00352720"/>
    <w:rsid w:val="00365FE8"/>
    <w:rsid w:val="00367B06"/>
    <w:rsid w:val="00393283"/>
    <w:rsid w:val="00393843"/>
    <w:rsid w:val="003B0CB9"/>
    <w:rsid w:val="003B7245"/>
    <w:rsid w:val="003C5421"/>
    <w:rsid w:val="003E43A3"/>
    <w:rsid w:val="003E4817"/>
    <w:rsid w:val="003F2BCF"/>
    <w:rsid w:val="003F628F"/>
    <w:rsid w:val="0043005C"/>
    <w:rsid w:val="00457B7F"/>
    <w:rsid w:val="00467BF1"/>
    <w:rsid w:val="0047235D"/>
    <w:rsid w:val="004B0723"/>
    <w:rsid w:val="004B5026"/>
    <w:rsid w:val="004E20E9"/>
    <w:rsid w:val="00501F6A"/>
    <w:rsid w:val="00514F0F"/>
    <w:rsid w:val="005C1222"/>
    <w:rsid w:val="00613F96"/>
    <w:rsid w:val="00625AF5"/>
    <w:rsid w:val="00626200"/>
    <w:rsid w:val="00635640"/>
    <w:rsid w:val="006728D3"/>
    <w:rsid w:val="00686119"/>
    <w:rsid w:val="00686699"/>
    <w:rsid w:val="006A0245"/>
    <w:rsid w:val="006A15F8"/>
    <w:rsid w:val="006B088B"/>
    <w:rsid w:val="006C4F3F"/>
    <w:rsid w:val="006C672C"/>
    <w:rsid w:val="006E1CBC"/>
    <w:rsid w:val="006E5941"/>
    <w:rsid w:val="00700E92"/>
    <w:rsid w:val="0070563D"/>
    <w:rsid w:val="00714FDB"/>
    <w:rsid w:val="00723458"/>
    <w:rsid w:val="0073390E"/>
    <w:rsid w:val="0074213D"/>
    <w:rsid w:val="00761DDF"/>
    <w:rsid w:val="00765684"/>
    <w:rsid w:val="00765E22"/>
    <w:rsid w:val="007D16F6"/>
    <w:rsid w:val="007E42FE"/>
    <w:rsid w:val="00841F87"/>
    <w:rsid w:val="00850A44"/>
    <w:rsid w:val="008572C6"/>
    <w:rsid w:val="008771E6"/>
    <w:rsid w:val="0088283E"/>
    <w:rsid w:val="008E16A2"/>
    <w:rsid w:val="008E1C9A"/>
    <w:rsid w:val="008F7ECE"/>
    <w:rsid w:val="00912BAC"/>
    <w:rsid w:val="009529B8"/>
    <w:rsid w:val="009664E7"/>
    <w:rsid w:val="009854C4"/>
    <w:rsid w:val="009F4F7D"/>
    <w:rsid w:val="00A03C16"/>
    <w:rsid w:val="00A07511"/>
    <w:rsid w:val="00A15D9E"/>
    <w:rsid w:val="00A268EF"/>
    <w:rsid w:val="00A4035A"/>
    <w:rsid w:val="00A446BB"/>
    <w:rsid w:val="00A773E9"/>
    <w:rsid w:val="00A8300B"/>
    <w:rsid w:val="00AB2DB0"/>
    <w:rsid w:val="00AB7536"/>
    <w:rsid w:val="00AE5468"/>
    <w:rsid w:val="00B11A70"/>
    <w:rsid w:val="00B20753"/>
    <w:rsid w:val="00B237B0"/>
    <w:rsid w:val="00BB372E"/>
    <w:rsid w:val="00BC09C9"/>
    <w:rsid w:val="00BD0F95"/>
    <w:rsid w:val="00BD3F68"/>
    <w:rsid w:val="00BD47E9"/>
    <w:rsid w:val="00BE2510"/>
    <w:rsid w:val="00BE44C8"/>
    <w:rsid w:val="00C06AE6"/>
    <w:rsid w:val="00C1502C"/>
    <w:rsid w:val="00C62A74"/>
    <w:rsid w:val="00C71F45"/>
    <w:rsid w:val="00C73917"/>
    <w:rsid w:val="00C8583A"/>
    <w:rsid w:val="00CA5B4A"/>
    <w:rsid w:val="00CB4A16"/>
    <w:rsid w:val="00CB524D"/>
    <w:rsid w:val="00CC1DCD"/>
    <w:rsid w:val="00CC2690"/>
    <w:rsid w:val="00D32740"/>
    <w:rsid w:val="00D402FE"/>
    <w:rsid w:val="00D661AE"/>
    <w:rsid w:val="00D72418"/>
    <w:rsid w:val="00D81A6D"/>
    <w:rsid w:val="00D93F64"/>
    <w:rsid w:val="00D94095"/>
    <w:rsid w:val="00DE1A3F"/>
    <w:rsid w:val="00E13B6E"/>
    <w:rsid w:val="00E35BF2"/>
    <w:rsid w:val="00E70BB8"/>
    <w:rsid w:val="00ED3BA4"/>
    <w:rsid w:val="00ED76CF"/>
    <w:rsid w:val="00EE25CD"/>
    <w:rsid w:val="00F103BC"/>
    <w:rsid w:val="00F45027"/>
    <w:rsid w:val="00F55CD2"/>
    <w:rsid w:val="00F826C1"/>
    <w:rsid w:val="00F83BD5"/>
    <w:rsid w:val="00F91523"/>
    <w:rsid w:val="00F93A09"/>
    <w:rsid w:val="00F9466E"/>
    <w:rsid w:val="00FB3011"/>
    <w:rsid w:val="00FD3B82"/>
    <w:rsid w:val="00FE7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D9CCB"/>
  <w15:docId w15:val="{AFFC3123-9A97-4416-9702-C66C73E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aliases w:val="h1"/>
    <w:basedOn w:val="Normal"/>
    <w:link w:val="Heading1Char"/>
    <w:uiPriority w:val="99"/>
    <w:qFormat/>
    <w:rsid w:val="000228D2"/>
    <w:pPr>
      <w:keepNext/>
      <w:numPr>
        <w:numId w:val="12"/>
      </w:numPr>
      <w:suppressAutoHyphens w:val="0"/>
      <w:spacing w:after="240"/>
      <w:outlineLvl w:val="0"/>
    </w:pPr>
    <w:rPr>
      <w:rFonts w:eastAsia="Times New Roman" w:cs="Arial"/>
      <w:bCs/>
      <w:szCs w:val="24"/>
    </w:rPr>
  </w:style>
  <w:style w:type="paragraph" w:styleId="Heading2">
    <w:name w:val="heading 2"/>
    <w:aliases w:val="h2"/>
    <w:basedOn w:val="Normal"/>
    <w:link w:val="Heading2Char"/>
    <w:uiPriority w:val="99"/>
    <w:qFormat/>
    <w:rsid w:val="000228D2"/>
    <w:pPr>
      <w:numPr>
        <w:ilvl w:val="1"/>
        <w:numId w:val="12"/>
      </w:numPr>
      <w:suppressAutoHyphens w:val="0"/>
      <w:spacing w:after="240"/>
      <w:outlineLvl w:val="1"/>
    </w:pPr>
    <w:rPr>
      <w:rFonts w:eastAsia="Times New Roman" w:cs="Arial"/>
      <w:bCs/>
      <w:iCs/>
      <w:szCs w:val="24"/>
    </w:rPr>
  </w:style>
  <w:style w:type="paragraph" w:styleId="Heading3">
    <w:name w:val="heading 3"/>
    <w:aliases w:val="h3"/>
    <w:basedOn w:val="Normal"/>
    <w:link w:val="Heading3Char"/>
    <w:uiPriority w:val="9"/>
    <w:qFormat/>
    <w:rsid w:val="000228D2"/>
    <w:pPr>
      <w:numPr>
        <w:ilvl w:val="2"/>
        <w:numId w:val="12"/>
      </w:numPr>
      <w:suppressAutoHyphens w:val="0"/>
      <w:spacing w:after="240"/>
      <w:outlineLvl w:val="2"/>
    </w:pPr>
    <w:rPr>
      <w:rFonts w:eastAsia="Times New Roman" w:cs="Arial"/>
      <w:bCs/>
      <w:szCs w:val="26"/>
    </w:rPr>
  </w:style>
  <w:style w:type="paragraph" w:styleId="Heading4">
    <w:name w:val="heading 4"/>
    <w:aliases w:val="h4"/>
    <w:basedOn w:val="Normal"/>
    <w:link w:val="Heading4Char"/>
    <w:qFormat/>
    <w:rsid w:val="000228D2"/>
    <w:pPr>
      <w:numPr>
        <w:ilvl w:val="3"/>
        <w:numId w:val="12"/>
      </w:numPr>
      <w:suppressAutoHyphens w:val="0"/>
      <w:spacing w:after="240"/>
      <w:outlineLvl w:val="3"/>
    </w:pPr>
    <w:rPr>
      <w:rFonts w:eastAsia="Times New Roman"/>
      <w:bCs/>
      <w:szCs w:val="24"/>
    </w:rPr>
  </w:style>
  <w:style w:type="paragraph" w:styleId="Heading5">
    <w:name w:val="heading 5"/>
    <w:aliases w:val="h5"/>
    <w:basedOn w:val="Normal"/>
    <w:link w:val="Heading5Char"/>
    <w:qFormat/>
    <w:rsid w:val="000228D2"/>
    <w:pPr>
      <w:numPr>
        <w:ilvl w:val="4"/>
        <w:numId w:val="12"/>
      </w:numPr>
      <w:suppressAutoHyphens w:val="0"/>
      <w:spacing w:after="240"/>
      <w:outlineLvl w:val="4"/>
    </w:pPr>
    <w:rPr>
      <w:rFonts w:eastAsia="Times New Roman"/>
      <w:bCs/>
      <w:iCs/>
      <w:szCs w:val="24"/>
    </w:rPr>
  </w:style>
  <w:style w:type="paragraph" w:styleId="Heading6">
    <w:name w:val="heading 6"/>
    <w:aliases w:val="h6"/>
    <w:basedOn w:val="Normal"/>
    <w:link w:val="Heading6Char"/>
    <w:qFormat/>
    <w:rsid w:val="000228D2"/>
    <w:pPr>
      <w:numPr>
        <w:ilvl w:val="5"/>
        <w:numId w:val="12"/>
      </w:numPr>
      <w:suppressAutoHyphens w:val="0"/>
      <w:spacing w:after="240"/>
      <w:outlineLvl w:val="5"/>
    </w:pPr>
    <w:rPr>
      <w:rFonts w:eastAsia="Times New Roman"/>
      <w:bCs/>
      <w:szCs w:val="24"/>
    </w:rPr>
  </w:style>
  <w:style w:type="paragraph" w:styleId="Heading7">
    <w:name w:val="heading 7"/>
    <w:aliases w:val="h7"/>
    <w:basedOn w:val="Normal"/>
    <w:link w:val="Heading7Char"/>
    <w:qFormat/>
    <w:rsid w:val="000228D2"/>
    <w:pPr>
      <w:numPr>
        <w:ilvl w:val="6"/>
        <w:numId w:val="12"/>
      </w:numPr>
      <w:suppressAutoHyphens w:val="0"/>
      <w:spacing w:after="240"/>
      <w:outlineLvl w:val="6"/>
    </w:pPr>
    <w:rPr>
      <w:rFonts w:eastAsia="Times New Roman"/>
      <w:szCs w:val="24"/>
    </w:rPr>
  </w:style>
  <w:style w:type="paragraph" w:styleId="Heading8">
    <w:name w:val="heading 8"/>
    <w:aliases w:val="h8"/>
    <w:basedOn w:val="Normal"/>
    <w:link w:val="Heading8Char"/>
    <w:qFormat/>
    <w:rsid w:val="000228D2"/>
    <w:pPr>
      <w:numPr>
        <w:ilvl w:val="7"/>
        <w:numId w:val="12"/>
      </w:numPr>
      <w:suppressAutoHyphens w:val="0"/>
      <w:spacing w:after="240"/>
      <w:outlineLvl w:val="7"/>
    </w:pPr>
    <w:rPr>
      <w:rFonts w:eastAsia="Times New Roman"/>
      <w:iCs/>
      <w:szCs w:val="24"/>
    </w:rPr>
  </w:style>
  <w:style w:type="paragraph" w:styleId="Heading9">
    <w:name w:val="heading 9"/>
    <w:aliases w:val="h9"/>
    <w:basedOn w:val="Normal"/>
    <w:link w:val="Heading9Char"/>
    <w:qFormat/>
    <w:rsid w:val="000228D2"/>
    <w:pPr>
      <w:numPr>
        <w:ilvl w:val="8"/>
        <w:numId w:val="12"/>
      </w:numPr>
      <w:suppressAutoHyphens w:val="0"/>
      <w:spacing w:after="240"/>
      <w:outlineLvl w:val="8"/>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2D26EA"/>
    <w:pPr>
      <w:ind w:left="720" w:hanging="720"/>
    </w:pPr>
    <w:rPr>
      <w:sz w:val="20"/>
    </w:rPr>
  </w:style>
  <w:style w:type="character" w:customStyle="1" w:styleId="FootnoteTextChar">
    <w:name w:val="Footnote Text Char"/>
    <w:basedOn w:val="DefaultParagraphFont"/>
    <w:link w:val="FootnoteText"/>
    <w:rsid w:val="002D26EA"/>
    <w:rPr>
      <w:rFonts w:ascii="Times New Roman" w:eastAsia="SimSun" w:hAnsi="Times New Roman" w:cs="Times New Roman"/>
      <w:sz w:val="20"/>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character" w:styleId="FootnoteReference">
    <w:name w:val="footnote reference"/>
    <w:basedOn w:val="DefaultParagraphFont"/>
    <w:uiPriority w:val="99"/>
    <w:semiHidden/>
    <w:unhideWhenUsed/>
    <w:rsid w:val="002D26EA"/>
    <w:rPr>
      <w:vertAlign w:val="superscript"/>
    </w:rPr>
  </w:style>
  <w:style w:type="table" w:styleId="TableGrid">
    <w:name w:val="Table Grid"/>
    <w:basedOn w:val="TableNormal"/>
    <w:uiPriority w:val="59"/>
    <w:rsid w:val="00BD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9"/>
    <w:rsid w:val="000228D2"/>
    <w:rPr>
      <w:rFonts w:ascii="Times New Roman" w:eastAsia="Times New Roman" w:hAnsi="Times New Roman" w:cs="Arial"/>
      <w:bCs/>
      <w:sz w:val="24"/>
      <w:szCs w:val="24"/>
    </w:rPr>
  </w:style>
  <w:style w:type="character" w:customStyle="1" w:styleId="Heading2Char">
    <w:name w:val="Heading 2 Char"/>
    <w:aliases w:val="h2 Char"/>
    <w:basedOn w:val="DefaultParagraphFont"/>
    <w:link w:val="Heading2"/>
    <w:uiPriority w:val="99"/>
    <w:rsid w:val="000228D2"/>
    <w:rPr>
      <w:rFonts w:ascii="Times New Roman" w:eastAsia="Times New Roman" w:hAnsi="Times New Roman" w:cs="Arial"/>
      <w:bCs/>
      <w:iCs/>
      <w:sz w:val="24"/>
      <w:szCs w:val="24"/>
    </w:rPr>
  </w:style>
  <w:style w:type="character" w:customStyle="1" w:styleId="Heading3Char">
    <w:name w:val="Heading 3 Char"/>
    <w:aliases w:val="h3 Char"/>
    <w:basedOn w:val="DefaultParagraphFont"/>
    <w:link w:val="Heading3"/>
    <w:uiPriority w:val="9"/>
    <w:rsid w:val="000228D2"/>
    <w:rPr>
      <w:rFonts w:ascii="Times New Roman" w:eastAsia="Times New Roman" w:hAnsi="Times New Roman" w:cs="Arial"/>
      <w:bCs/>
      <w:sz w:val="24"/>
      <w:szCs w:val="26"/>
    </w:rPr>
  </w:style>
  <w:style w:type="character" w:customStyle="1" w:styleId="Heading4Char">
    <w:name w:val="Heading 4 Char"/>
    <w:aliases w:val="h4 Char"/>
    <w:basedOn w:val="DefaultParagraphFont"/>
    <w:link w:val="Heading4"/>
    <w:rsid w:val="000228D2"/>
    <w:rPr>
      <w:rFonts w:ascii="Times New Roman" w:eastAsia="Times New Roman" w:hAnsi="Times New Roman" w:cs="Times New Roman"/>
      <w:bCs/>
      <w:sz w:val="24"/>
      <w:szCs w:val="24"/>
    </w:rPr>
  </w:style>
  <w:style w:type="character" w:customStyle="1" w:styleId="Heading5Char">
    <w:name w:val="Heading 5 Char"/>
    <w:aliases w:val="h5 Char"/>
    <w:basedOn w:val="DefaultParagraphFont"/>
    <w:link w:val="Heading5"/>
    <w:rsid w:val="000228D2"/>
    <w:rPr>
      <w:rFonts w:ascii="Times New Roman" w:eastAsia="Times New Roman" w:hAnsi="Times New Roman" w:cs="Times New Roman"/>
      <w:bCs/>
      <w:iCs/>
      <w:sz w:val="24"/>
      <w:szCs w:val="24"/>
    </w:rPr>
  </w:style>
  <w:style w:type="character" w:customStyle="1" w:styleId="Heading6Char">
    <w:name w:val="Heading 6 Char"/>
    <w:aliases w:val="h6 Char"/>
    <w:basedOn w:val="DefaultParagraphFont"/>
    <w:link w:val="Heading6"/>
    <w:rsid w:val="000228D2"/>
    <w:rPr>
      <w:rFonts w:ascii="Times New Roman" w:eastAsia="Times New Roman" w:hAnsi="Times New Roman" w:cs="Times New Roman"/>
      <w:bCs/>
      <w:sz w:val="24"/>
      <w:szCs w:val="24"/>
    </w:rPr>
  </w:style>
  <w:style w:type="character" w:customStyle="1" w:styleId="Heading7Char">
    <w:name w:val="Heading 7 Char"/>
    <w:aliases w:val="h7 Char"/>
    <w:basedOn w:val="DefaultParagraphFont"/>
    <w:link w:val="Heading7"/>
    <w:rsid w:val="000228D2"/>
    <w:rPr>
      <w:rFonts w:ascii="Times New Roman" w:eastAsia="Times New Roman" w:hAnsi="Times New Roman" w:cs="Times New Roman"/>
      <w:sz w:val="24"/>
      <w:szCs w:val="24"/>
    </w:rPr>
  </w:style>
  <w:style w:type="character" w:customStyle="1" w:styleId="Heading8Char">
    <w:name w:val="Heading 8 Char"/>
    <w:aliases w:val="h8 Char"/>
    <w:basedOn w:val="DefaultParagraphFont"/>
    <w:link w:val="Heading8"/>
    <w:rsid w:val="000228D2"/>
    <w:rPr>
      <w:rFonts w:ascii="Times New Roman" w:eastAsia="Times New Roman" w:hAnsi="Times New Roman" w:cs="Times New Roman"/>
      <w:iCs/>
      <w:sz w:val="24"/>
      <w:szCs w:val="24"/>
    </w:rPr>
  </w:style>
  <w:style w:type="character" w:customStyle="1" w:styleId="Heading9Char">
    <w:name w:val="Heading 9 Char"/>
    <w:aliases w:val="h9 Char"/>
    <w:basedOn w:val="DefaultParagraphFont"/>
    <w:link w:val="Heading9"/>
    <w:rsid w:val="000228D2"/>
    <w:rPr>
      <w:rFonts w:ascii="Times New Roman" w:eastAsia="Times New Roman" w:hAnsi="Times New Roman" w:cs="Arial"/>
      <w:sz w:val="24"/>
      <w:szCs w:val="24"/>
    </w:rPr>
  </w:style>
  <w:style w:type="character" w:styleId="CommentReference">
    <w:name w:val="annotation reference"/>
    <w:uiPriority w:val="99"/>
    <w:semiHidden/>
    <w:rsid w:val="000228D2"/>
    <w:rPr>
      <w:sz w:val="16"/>
      <w:szCs w:val="16"/>
    </w:rPr>
  </w:style>
  <w:style w:type="paragraph" w:styleId="CommentText">
    <w:name w:val="annotation text"/>
    <w:basedOn w:val="Normal"/>
    <w:link w:val="CommentTextChar"/>
    <w:semiHidden/>
    <w:rsid w:val="000228D2"/>
    <w:pPr>
      <w:suppressAutoHyphens w:val="0"/>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0228D2"/>
    <w:rPr>
      <w:rFonts w:ascii="Arial" w:eastAsia="Times New Roman" w:hAnsi="Arial" w:cs="Arial"/>
      <w:sz w:val="20"/>
      <w:szCs w:val="20"/>
    </w:rPr>
  </w:style>
  <w:style w:type="paragraph" w:styleId="BalloonText">
    <w:name w:val="Balloon Text"/>
    <w:basedOn w:val="Normal"/>
    <w:link w:val="BalloonTextChar"/>
    <w:uiPriority w:val="99"/>
    <w:semiHidden/>
    <w:unhideWhenUsed/>
    <w:rsid w:val="00022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3B50"/>
    <w:pPr>
      <w:suppressAutoHyphens/>
    </w:pPr>
    <w:rPr>
      <w:rFonts w:ascii="Times New Roman" w:eastAsiaTheme="minorHAnsi" w:hAnsi="Times New Roman" w:cs="Times New Roman"/>
      <w:b/>
      <w:bCs/>
    </w:rPr>
  </w:style>
  <w:style w:type="character" w:customStyle="1" w:styleId="CommentSubjectChar">
    <w:name w:val="Comment Subject Char"/>
    <w:basedOn w:val="CommentTextChar"/>
    <w:link w:val="CommentSubject"/>
    <w:uiPriority w:val="99"/>
    <w:semiHidden/>
    <w:rsid w:val="00083B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41592"/>
    <w:pPr>
      <w:tabs>
        <w:tab w:val="center" w:pos="4680"/>
        <w:tab w:val="right" w:pos="9360"/>
      </w:tabs>
    </w:pPr>
  </w:style>
  <w:style w:type="character" w:customStyle="1" w:styleId="HeaderChar">
    <w:name w:val="Header Char"/>
    <w:basedOn w:val="DefaultParagraphFont"/>
    <w:link w:val="Header"/>
    <w:uiPriority w:val="99"/>
    <w:rsid w:val="00241592"/>
    <w:rPr>
      <w:rFonts w:ascii="Times New Roman" w:hAnsi="Times New Roman" w:cs="Times New Roman"/>
      <w:sz w:val="24"/>
    </w:rPr>
  </w:style>
  <w:style w:type="paragraph" w:styleId="Footer">
    <w:name w:val="footer"/>
    <w:basedOn w:val="Normal"/>
    <w:link w:val="FooterChar"/>
    <w:uiPriority w:val="99"/>
    <w:unhideWhenUsed/>
    <w:rsid w:val="00241592"/>
    <w:pPr>
      <w:tabs>
        <w:tab w:val="center" w:pos="4680"/>
        <w:tab w:val="right" w:pos="9360"/>
      </w:tabs>
    </w:pPr>
  </w:style>
  <w:style w:type="character" w:customStyle="1" w:styleId="FooterChar">
    <w:name w:val="Footer Char"/>
    <w:basedOn w:val="DefaultParagraphFont"/>
    <w:link w:val="Footer"/>
    <w:uiPriority w:val="99"/>
    <w:rsid w:val="00241592"/>
    <w:rPr>
      <w:rFonts w:ascii="Times New Roman" w:hAnsi="Times New Roman" w:cs="Times New Roman"/>
      <w:sz w:val="24"/>
    </w:rPr>
  </w:style>
  <w:style w:type="paragraph" w:customStyle="1" w:styleId="FooterRightAligned">
    <w:name w:val="_Footer Right Aligned"/>
    <w:basedOn w:val="Normal0"/>
    <w:rsid w:val="00241592"/>
    <w:pPr>
      <w:jc w:val="right"/>
    </w:pPr>
    <w:rPr>
      <w:rFonts w:eastAsia="Times New Roman"/>
      <w:sz w:val="16"/>
      <w:szCs w:val="16"/>
    </w:rPr>
  </w:style>
  <w:style w:type="paragraph" w:customStyle="1" w:styleId="FooterLeftAligned">
    <w:name w:val="_Footer Left Aligned"/>
    <w:basedOn w:val="Normal0"/>
    <w:rsid w:val="00241592"/>
    <w:rPr>
      <w:rFonts w:eastAsia="Times New Roman"/>
      <w:sz w:val="16"/>
      <w:szCs w:val="16"/>
    </w:rPr>
  </w:style>
  <w:style w:type="paragraph" w:customStyle="1" w:styleId="FooterFiller">
    <w:name w:val="_Footer Filler"/>
    <w:basedOn w:val="Normal"/>
    <w:rsid w:val="00241592"/>
    <w:rPr>
      <w:rFonts w:eastAsia="Times New Roman"/>
      <w:sz w:val="4"/>
      <w:szCs w:val="4"/>
    </w:rPr>
  </w:style>
  <w:style w:type="table" w:customStyle="1" w:styleId="TableNoBorders">
    <w:name w:val="_Table No Borders"/>
    <w:basedOn w:val="TableNormal"/>
    <w:rsid w:val="00241592"/>
    <w:pPr>
      <w:spacing w:after="0" w:line="240" w:lineRule="auto"/>
    </w:pPr>
    <w:rPr>
      <w:rFonts w:ascii="Times New Roman" w:eastAsia="Times New Roman" w:hAnsi="Times New Roman" w:cs="Times New Roman"/>
      <w:sz w:val="20"/>
      <w:szCs w:val="20"/>
    </w:rPr>
    <w:tblPr/>
  </w:style>
  <w:style w:type="paragraph" w:customStyle="1" w:styleId="FooterCenterAligned">
    <w:name w:val="_Footer Center Aligned"/>
    <w:basedOn w:val="Normal0"/>
    <w:rsid w:val="00241592"/>
    <w:pPr>
      <w:jc w:val="center"/>
    </w:pPr>
    <w:rPr>
      <w:rFonts w:eastAsia="Times New Roman"/>
      <w:sz w:val="16"/>
    </w:rPr>
  </w:style>
  <w:style w:type="paragraph" w:styleId="Revision">
    <w:name w:val="Revision"/>
    <w:hidden/>
    <w:uiPriority w:val="99"/>
    <w:semiHidden/>
    <w:rsid w:val="00765E22"/>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77565">
      <w:bodyDiv w:val="1"/>
      <w:marLeft w:val="0"/>
      <w:marRight w:val="0"/>
      <w:marTop w:val="0"/>
      <w:marBottom w:val="0"/>
      <w:divBdr>
        <w:top w:val="none" w:sz="0" w:space="0" w:color="auto"/>
        <w:left w:val="none" w:sz="0" w:space="0" w:color="auto"/>
        <w:bottom w:val="none" w:sz="0" w:space="0" w:color="auto"/>
        <w:right w:val="none" w:sz="0" w:space="0" w:color="auto"/>
      </w:divBdr>
    </w:div>
    <w:div w:id="17557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2019-11-25T17:15:00Z</dcterms:created>
  <dcterms:modified xsi:type="dcterms:W3CDTF">2019-11-25T17:15:00Z</dcterms:modified>
</cp:coreProperties>
</file>